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DEF8" w14:textId="7BB48170" w:rsidR="00971867" w:rsidRDefault="00971867" w:rsidP="00971867">
      <w:pPr>
        <w:spacing w:after="0" w:line="288" w:lineRule="auto"/>
        <w:jc w:val="center"/>
        <w:rPr>
          <w:rFonts w:ascii="Verdana" w:hAnsi="Verdana"/>
          <w:b/>
          <w:color w:val="E27725"/>
          <w:sz w:val="28"/>
          <w:szCs w:val="28"/>
          <w:lang w:val="en-GB"/>
        </w:rPr>
      </w:pPr>
      <w:bookmarkStart w:id="0" w:name="_Hlk10805177"/>
      <w:r>
        <w:rPr>
          <w:rFonts w:ascii="Verdana" w:hAnsi="Verdana"/>
          <w:b/>
          <w:color w:val="E27725"/>
          <w:sz w:val="28"/>
          <w:szCs w:val="28"/>
          <w:lang w:val="en-GB"/>
        </w:rPr>
        <w:t xml:space="preserve">HTT completion guidelines </w:t>
      </w:r>
    </w:p>
    <w:p w14:paraId="20F7878B" w14:textId="77777777" w:rsidR="00971867" w:rsidRPr="00A14C50" w:rsidRDefault="00971867" w:rsidP="00971867">
      <w:pPr>
        <w:pBdr>
          <w:bottom w:val="single" w:sz="12" w:space="1" w:color="auto"/>
        </w:pBdr>
        <w:spacing w:after="0" w:line="288" w:lineRule="auto"/>
        <w:jc w:val="center"/>
        <w:rPr>
          <w:rFonts w:ascii="Verdana" w:hAnsi="Verdana"/>
          <w:b/>
          <w:color w:val="E27725"/>
          <w:sz w:val="28"/>
          <w:szCs w:val="28"/>
          <w:lang w:val="en-GB"/>
        </w:rPr>
      </w:pPr>
    </w:p>
    <w:p w14:paraId="5317A2DB" w14:textId="77777777" w:rsidR="00971867" w:rsidRDefault="00971867" w:rsidP="00971867">
      <w:pPr>
        <w:spacing w:after="0" w:line="288" w:lineRule="auto"/>
        <w:jc w:val="both"/>
        <w:rPr>
          <w:rFonts w:ascii="Verdana" w:hAnsi="Verdana"/>
          <w:color w:val="E27725"/>
          <w:sz w:val="18"/>
          <w:szCs w:val="18"/>
          <w:lang w:val="en-GB"/>
        </w:rPr>
      </w:pPr>
    </w:p>
    <w:sdt>
      <w:sdtPr>
        <w:rPr>
          <w:rFonts w:ascii="Calibri" w:eastAsia="Calibri" w:hAnsi="Calibri" w:cs="Times New Roman"/>
          <w:color w:val="auto"/>
          <w:sz w:val="22"/>
          <w:szCs w:val="22"/>
          <w:lang w:val="fr-BE"/>
        </w:rPr>
        <w:id w:val="-381252543"/>
        <w:docPartObj>
          <w:docPartGallery w:val="Table of Contents"/>
          <w:docPartUnique/>
        </w:docPartObj>
      </w:sdtPr>
      <w:sdtEndPr>
        <w:rPr>
          <w:b/>
          <w:bCs/>
          <w:noProof/>
        </w:rPr>
      </w:sdtEndPr>
      <w:sdtContent>
        <w:p w14:paraId="1E98AB2E" w14:textId="424A55C1" w:rsidR="00F5347A" w:rsidRDefault="00F5347A">
          <w:pPr>
            <w:pStyle w:val="TOCHeading"/>
          </w:pPr>
          <w:r>
            <w:t>Contents</w:t>
          </w:r>
        </w:p>
        <w:p w14:paraId="08C6D0C2" w14:textId="496130E9" w:rsidR="00F5347A" w:rsidRDefault="00F5347A">
          <w:pPr>
            <w:pStyle w:val="TOC1"/>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5714044" w:history="1">
            <w:r w:rsidRPr="00FA7CDB">
              <w:rPr>
                <w:rStyle w:val="Hyperlink"/>
                <w:noProof/>
                <w:lang w:val="en-GB"/>
              </w:rPr>
              <w:t>Purpose</w:t>
            </w:r>
            <w:r>
              <w:rPr>
                <w:noProof/>
                <w:webHidden/>
              </w:rPr>
              <w:tab/>
            </w:r>
            <w:r>
              <w:rPr>
                <w:noProof/>
                <w:webHidden/>
              </w:rPr>
              <w:fldChar w:fldCharType="begin"/>
            </w:r>
            <w:r>
              <w:rPr>
                <w:noProof/>
                <w:webHidden/>
              </w:rPr>
              <w:instrText xml:space="preserve"> PAGEREF _Toc5714044 \h </w:instrText>
            </w:r>
            <w:r>
              <w:rPr>
                <w:noProof/>
                <w:webHidden/>
              </w:rPr>
            </w:r>
            <w:r>
              <w:rPr>
                <w:noProof/>
                <w:webHidden/>
              </w:rPr>
              <w:fldChar w:fldCharType="separate"/>
            </w:r>
            <w:r>
              <w:rPr>
                <w:noProof/>
                <w:webHidden/>
              </w:rPr>
              <w:t>2</w:t>
            </w:r>
            <w:r>
              <w:rPr>
                <w:noProof/>
                <w:webHidden/>
              </w:rPr>
              <w:fldChar w:fldCharType="end"/>
            </w:r>
          </w:hyperlink>
        </w:p>
        <w:p w14:paraId="4E435055" w14:textId="3FB511B4" w:rsidR="00F5347A" w:rsidRDefault="00C31782">
          <w:pPr>
            <w:pStyle w:val="TOC1"/>
            <w:tabs>
              <w:tab w:val="right" w:leader="dot" w:pos="9016"/>
            </w:tabs>
            <w:rPr>
              <w:noProof/>
            </w:rPr>
          </w:pPr>
          <w:hyperlink w:anchor="_Toc5714045" w:history="1">
            <w:r w:rsidR="00F5347A" w:rsidRPr="00FA7CDB">
              <w:rPr>
                <w:rStyle w:val="Hyperlink"/>
                <w:noProof/>
                <w:lang w:val="en-GB"/>
              </w:rPr>
              <w:t>Scope</w:t>
            </w:r>
            <w:r w:rsidR="00F5347A">
              <w:rPr>
                <w:noProof/>
                <w:webHidden/>
              </w:rPr>
              <w:tab/>
            </w:r>
            <w:r w:rsidR="00F5347A">
              <w:rPr>
                <w:noProof/>
                <w:webHidden/>
              </w:rPr>
              <w:fldChar w:fldCharType="begin"/>
            </w:r>
            <w:r w:rsidR="00F5347A">
              <w:rPr>
                <w:noProof/>
                <w:webHidden/>
              </w:rPr>
              <w:instrText xml:space="preserve"> PAGEREF _Toc5714045 \h </w:instrText>
            </w:r>
            <w:r w:rsidR="00F5347A">
              <w:rPr>
                <w:noProof/>
                <w:webHidden/>
              </w:rPr>
            </w:r>
            <w:r w:rsidR="00F5347A">
              <w:rPr>
                <w:noProof/>
                <w:webHidden/>
              </w:rPr>
              <w:fldChar w:fldCharType="separate"/>
            </w:r>
            <w:r w:rsidR="00F5347A">
              <w:rPr>
                <w:noProof/>
                <w:webHidden/>
              </w:rPr>
              <w:t>2</w:t>
            </w:r>
            <w:r w:rsidR="00F5347A">
              <w:rPr>
                <w:noProof/>
                <w:webHidden/>
              </w:rPr>
              <w:fldChar w:fldCharType="end"/>
            </w:r>
          </w:hyperlink>
        </w:p>
        <w:p w14:paraId="076DAD04" w14:textId="42603713" w:rsidR="00F5347A" w:rsidRDefault="00C31782">
          <w:pPr>
            <w:pStyle w:val="TOC1"/>
            <w:tabs>
              <w:tab w:val="right" w:leader="dot" w:pos="9016"/>
            </w:tabs>
            <w:rPr>
              <w:noProof/>
            </w:rPr>
          </w:pPr>
          <w:hyperlink w:anchor="_Toc5714046" w:history="1">
            <w:r w:rsidR="00F5347A" w:rsidRPr="00FA7CDB">
              <w:rPr>
                <w:rStyle w:val="Hyperlink"/>
                <w:noProof/>
                <w:lang w:val="en-GB"/>
              </w:rPr>
              <w:t>General guidelines</w:t>
            </w:r>
            <w:r w:rsidR="00F5347A">
              <w:rPr>
                <w:noProof/>
                <w:webHidden/>
              </w:rPr>
              <w:tab/>
            </w:r>
            <w:r w:rsidR="00F5347A">
              <w:rPr>
                <w:noProof/>
                <w:webHidden/>
              </w:rPr>
              <w:fldChar w:fldCharType="begin"/>
            </w:r>
            <w:r w:rsidR="00F5347A">
              <w:rPr>
                <w:noProof/>
                <w:webHidden/>
              </w:rPr>
              <w:instrText xml:space="preserve"> PAGEREF _Toc5714046 \h </w:instrText>
            </w:r>
            <w:r w:rsidR="00F5347A">
              <w:rPr>
                <w:noProof/>
                <w:webHidden/>
              </w:rPr>
            </w:r>
            <w:r w:rsidR="00F5347A">
              <w:rPr>
                <w:noProof/>
                <w:webHidden/>
              </w:rPr>
              <w:fldChar w:fldCharType="separate"/>
            </w:r>
            <w:r w:rsidR="00F5347A">
              <w:rPr>
                <w:noProof/>
                <w:webHidden/>
              </w:rPr>
              <w:t>3</w:t>
            </w:r>
            <w:r w:rsidR="00F5347A">
              <w:rPr>
                <w:noProof/>
                <w:webHidden/>
              </w:rPr>
              <w:fldChar w:fldCharType="end"/>
            </w:r>
          </w:hyperlink>
        </w:p>
        <w:p w14:paraId="159327A8" w14:textId="71137EDA" w:rsidR="00F5347A" w:rsidRDefault="00C31782">
          <w:pPr>
            <w:pStyle w:val="TOC1"/>
            <w:tabs>
              <w:tab w:val="right" w:leader="dot" w:pos="9016"/>
            </w:tabs>
            <w:rPr>
              <w:noProof/>
            </w:rPr>
          </w:pPr>
          <w:hyperlink w:anchor="_Toc5714047" w:history="1">
            <w:r w:rsidR="00F5347A" w:rsidRPr="00FA7CDB">
              <w:rPr>
                <w:rStyle w:val="Hyperlink"/>
                <w:noProof/>
                <w:lang w:val="en-GB"/>
              </w:rPr>
              <w:t>Uniform Encoding Format</w:t>
            </w:r>
            <w:r w:rsidR="00F5347A">
              <w:rPr>
                <w:noProof/>
                <w:webHidden/>
              </w:rPr>
              <w:tab/>
            </w:r>
            <w:r w:rsidR="00F5347A">
              <w:rPr>
                <w:noProof/>
                <w:webHidden/>
              </w:rPr>
              <w:fldChar w:fldCharType="begin"/>
            </w:r>
            <w:r w:rsidR="00F5347A">
              <w:rPr>
                <w:noProof/>
                <w:webHidden/>
              </w:rPr>
              <w:instrText xml:space="preserve"> PAGEREF _Toc5714047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49650A28" w14:textId="6DCE5430" w:rsidR="00F5347A" w:rsidRDefault="00C31782">
          <w:pPr>
            <w:pStyle w:val="TOC1"/>
            <w:tabs>
              <w:tab w:val="right" w:leader="dot" w:pos="9016"/>
            </w:tabs>
            <w:rPr>
              <w:noProof/>
            </w:rPr>
          </w:pPr>
          <w:hyperlink w:anchor="_Toc5714048" w:history="1">
            <w:r w:rsidR="00F5347A" w:rsidRPr="00FA7CDB">
              <w:rPr>
                <w:rStyle w:val="Hyperlink"/>
                <w:noProof/>
                <w:lang w:val="en-GB"/>
              </w:rPr>
              <w:t>Tab Specific Guidelines</w:t>
            </w:r>
            <w:r w:rsidR="00F5347A">
              <w:rPr>
                <w:noProof/>
                <w:webHidden/>
              </w:rPr>
              <w:tab/>
            </w:r>
            <w:r w:rsidR="00F5347A">
              <w:rPr>
                <w:noProof/>
                <w:webHidden/>
              </w:rPr>
              <w:fldChar w:fldCharType="begin"/>
            </w:r>
            <w:r w:rsidR="00F5347A">
              <w:rPr>
                <w:noProof/>
                <w:webHidden/>
              </w:rPr>
              <w:instrText xml:space="preserve"> PAGEREF _Toc5714048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44438E3A" w14:textId="2794489A" w:rsidR="00F5347A" w:rsidRDefault="00C31782">
          <w:pPr>
            <w:pStyle w:val="TOC2"/>
            <w:tabs>
              <w:tab w:val="right" w:leader="dot" w:pos="9016"/>
            </w:tabs>
            <w:rPr>
              <w:noProof/>
            </w:rPr>
          </w:pPr>
          <w:hyperlink w:anchor="_Toc5714049" w:history="1">
            <w:r w:rsidR="00F5347A" w:rsidRPr="00FA7CDB">
              <w:rPr>
                <w:rStyle w:val="Hyperlink"/>
                <w:noProof/>
                <w:lang w:val="en-GB"/>
              </w:rPr>
              <w:t>Introduction</w:t>
            </w:r>
            <w:r w:rsidR="00F5347A">
              <w:rPr>
                <w:noProof/>
                <w:webHidden/>
              </w:rPr>
              <w:tab/>
            </w:r>
            <w:r w:rsidR="00F5347A">
              <w:rPr>
                <w:noProof/>
                <w:webHidden/>
              </w:rPr>
              <w:fldChar w:fldCharType="begin"/>
            </w:r>
            <w:r w:rsidR="00F5347A">
              <w:rPr>
                <w:noProof/>
                <w:webHidden/>
              </w:rPr>
              <w:instrText xml:space="preserve"> PAGEREF _Toc5714049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6EB41DE9" w14:textId="0C406824" w:rsidR="00F5347A" w:rsidRDefault="00C31782">
          <w:pPr>
            <w:pStyle w:val="TOC2"/>
            <w:tabs>
              <w:tab w:val="left" w:pos="660"/>
              <w:tab w:val="right" w:leader="dot" w:pos="9016"/>
            </w:tabs>
            <w:rPr>
              <w:noProof/>
            </w:rPr>
          </w:pPr>
          <w:hyperlink w:anchor="_Toc5714050" w:history="1">
            <w:r w:rsidR="00F5347A" w:rsidRPr="00FA7CDB">
              <w:rPr>
                <w:rStyle w:val="Hyperlink"/>
                <w:noProof/>
                <w:lang w:val="en-GB"/>
              </w:rPr>
              <w:t>A.</w:t>
            </w:r>
            <w:r w:rsidR="00F5347A">
              <w:rPr>
                <w:noProof/>
              </w:rPr>
              <w:tab/>
            </w:r>
            <w:r w:rsidR="00F5347A" w:rsidRPr="00FA7CDB">
              <w:rPr>
                <w:rStyle w:val="Hyperlink"/>
                <w:noProof/>
                <w:lang w:val="en-GB"/>
              </w:rPr>
              <w:t>HTT General</w:t>
            </w:r>
            <w:r w:rsidR="00F5347A">
              <w:rPr>
                <w:noProof/>
                <w:webHidden/>
              </w:rPr>
              <w:tab/>
            </w:r>
            <w:r w:rsidR="00F5347A">
              <w:rPr>
                <w:noProof/>
                <w:webHidden/>
              </w:rPr>
              <w:fldChar w:fldCharType="begin"/>
            </w:r>
            <w:r w:rsidR="00F5347A">
              <w:rPr>
                <w:noProof/>
                <w:webHidden/>
              </w:rPr>
              <w:instrText xml:space="preserve"> PAGEREF _Toc5714050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0EEC617E" w14:textId="64DAAB08" w:rsidR="00F5347A" w:rsidRDefault="00C31782">
          <w:pPr>
            <w:pStyle w:val="TOC3"/>
            <w:tabs>
              <w:tab w:val="right" w:leader="dot" w:pos="9016"/>
            </w:tabs>
            <w:rPr>
              <w:noProof/>
            </w:rPr>
          </w:pPr>
          <w:hyperlink w:anchor="_Toc5714051" w:history="1">
            <w:r w:rsidR="00F5347A" w:rsidRPr="00FA7CDB">
              <w:rPr>
                <w:rStyle w:val="Hyperlink"/>
                <w:noProof/>
                <w:lang w:val="en-GB"/>
              </w:rPr>
              <w:t>3.2 Over-collateralisation (OC)</w:t>
            </w:r>
            <w:r w:rsidR="00F5347A">
              <w:rPr>
                <w:noProof/>
                <w:webHidden/>
              </w:rPr>
              <w:tab/>
            </w:r>
            <w:r w:rsidR="00F5347A">
              <w:rPr>
                <w:noProof/>
                <w:webHidden/>
              </w:rPr>
              <w:fldChar w:fldCharType="begin"/>
            </w:r>
            <w:r w:rsidR="00F5347A">
              <w:rPr>
                <w:noProof/>
                <w:webHidden/>
              </w:rPr>
              <w:instrText xml:space="preserve"> PAGEREF _Toc5714051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1D64DD57" w14:textId="3AF804AE" w:rsidR="00F5347A" w:rsidRDefault="00C31782">
          <w:pPr>
            <w:pStyle w:val="TOC3"/>
            <w:tabs>
              <w:tab w:val="right" w:leader="dot" w:pos="9016"/>
            </w:tabs>
            <w:rPr>
              <w:noProof/>
            </w:rPr>
          </w:pPr>
          <w:hyperlink w:anchor="_Toc5714052" w:history="1">
            <w:r w:rsidR="00F5347A" w:rsidRPr="00FA7CDB">
              <w:rPr>
                <w:rStyle w:val="Hyperlink"/>
                <w:noProof/>
                <w:lang w:val="en-GB"/>
              </w:rPr>
              <w:t>6. Covered Assets - Currency</w:t>
            </w:r>
            <w:r w:rsidR="00F5347A">
              <w:rPr>
                <w:noProof/>
                <w:webHidden/>
              </w:rPr>
              <w:tab/>
            </w:r>
            <w:r w:rsidR="00F5347A">
              <w:rPr>
                <w:noProof/>
                <w:webHidden/>
              </w:rPr>
              <w:fldChar w:fldCharType="begin"/>
            </w:r>
            <w:r w:rsidR="00F5347A">
              <w:rPr>
                <w:noProof/>
                <w:webHidden/>
              </w:rPr>
              <w:instrText xml:space="preserve"> PAGEREF _Toc5714052 \h </w:instrText>
            </w:r>
            <w:r w:rsidR="00F5347A">
              <w:rPr>
                <w:noProof/>
                <w:webHidden/>
              </w:rPr>
            </w:r>
            <w:r w:rsidR="00F5347A">
              <w:rPr>
                <w:noProof/>
                <w:webHidden/>
              </w:rPr>
              <w:fldChar w:fldCharType="separate"/>
            </w:r>
            <w:r w:rsidR="00F5347A">
              <w:rPr>
                <w:noProof/>
                <w:webHidden/>
              </w:rPr>
              <w:t>4</w:t>
            </w:r>
            <w:r w:rsidR="00F5347A">
              <w:rPr>
                <w:noProof/>
                <w:webHidden/>
              </w:rPr>
              <w:fldChar w:fldCharType="end"/>
            </w:r>
          </w:hyperlink>
        </w:p>
        <w:p w14:paraId="418C1FC8" w14:textId="2063E02D" w:rsidR="00F5347A" w:rsidRDefault="00C31782">
          <w:pPr>
            <w:pStyle w:val="TOC3"/>
            <w:tabs>
              <w:tab w:val="right" w:leader="dot" w:pos="9016"/>
            </w:tabs>
            <w:rPr>
              <w:noProof/>
            </w:rPr>
          </w:pPr>
          <w:hyperlink w:anchor="_Toc5714053" w:history="1">
            <w:r w:rsidR="00F5347A" w:rsidRPr="00FA7CDB">
              <w:rPr>
                <w:rStyle w:val="Hyperlink"/>
                <w:noProof/>
                <w:lang w:val="en-GB"/>
              </w:rPr>
              <w:t>7. Covered Bonds – Currency</w:t>
            </w:r>
            <w:r w:rsidR="00F5347A">
              <w:rPr>
                <w:noProof/>
                <w:webHidden/>
              </w:rPr>
              <w:tab/>
            </w:r>
            <w:r w:rsidR="00F5347A">
              <w:rPr>
                <w:noProof/>
                <w:webHidden/>
              </w:rPr>
              <w:fldChar w:fldCharType="begin"/>
            </w:r>
            <w:r w:rsidR="00F5347A">
              <w:rPr>
                <w:noProof/>
                <w:webHidden/>
              </w:rPr>
              <w:instrText xml:space="preserve"> PAGEREF _Toc5714053 \h </w:instrText>
            </w:r>
            <w:r w:rsidR="00F5347A">
              <w:rPr>
                <w:noProof/>
                <w:webHidden/>
              </w:rPr>
            </w:r>
            <w:r w:rsidR="00F5347A">
              <w:rPr>
                <w:noProof/>
                <w:webHidden/>
              </w:rPr>
              <w:fldChar w:fldCharType="separate"/>
            </w:r>
            <w:r w:rsidR="00F5347A">
              <w:rPr>
                <w:noProof/>
                <w:webHidden/>
              </w:rPr>
              <w:t>5</w:t>
            </w:r>
            <w:r w:rsidR="00F5347A">
              <w:rPr>
                <w:noProof/>
                <w:webHidden/>
              </w:rPr>
              <w:fldChar w:fldCharType="end"/>
            </w:r>
          </w:hyperlink>
        </w:p>
        <w:p w14:paraId="37AC18F1" w14:textId="21FDB899" w:rsidR="00F5347A" w:rsidRDefault="00C31782">
          <w:pPr>
            <w:pStyle w:val="TOC3"/>
            <w:tabs>
              <w:tab w:val="right" w:leader="dot" w:pos="9016"/>
            </w:tabs>
            <w:rPr>
              <w:noProof/>
            </w:rPr>
          </w:pPr>
          <w:hyperlink w:anchor="_Toc5714054" w:history="1">
            <w:r w:rsidR="00F5347A" w:rsidRPr="00FA7CDB">
              <w:rPr>
                <w:rStyle w:val="Hyperlink"/>
                <w:noProof/>
                <w:lang w:val="en-GB"/>
              </w:rPr>
              <w:t>8. Covered Bonds – Breakdown by interest rate</w:t>
            </w:r>
            <w:r w:rsidR="00F5347A">
              <w:rPr>
                <w:noProof/>
                <w:webHidden/>
              </w:rPr>
              <w:tab/>
            </w:r>
            <w:r w:rsidR="00F5347A">
              <w:rPr>
                <w:noProof/>
                <w:webHidden/>
              </w:rPr>
              <w:fldChar w:fldCharType="begin"/>
            </w:r>
            <w:r w:rsidR="00F5347A">
              <w:rPr>
                <w:noProof/>
                <w:webHidden/>
              </w:rPr>
              <w:instrText xml:space="preserve"> PAGEREF _Toc5714054 \h </w:instrText>
            </w:r>
            <w:r w:rsidR="00F5347A">
              <w:rPr>
                <w:noProof/>
                <w:webHidden/>
              </w:rPr>
            </w:r>
            <w:r w:rsidR="00F5347A">
              <w:rPr>
                <w:noProof/>
                <w:webHidden/>
              </w:rPr>
              <w:fldChar w:fldCharType="separate"/>
            </w:r>
            <w:r w:rsidR="00F5347A">
              <w:rPr>
                <w:noProof/>
                <w:webHidden/>
              </w:rPr>
              <w:t>5</w:t>
            </w:r>
            <w:r w:rsidR="00F5347A">
              <w:rPr>
                <w:noProof/>
                <w:webHidden/>
              </w:rPr>
              <w:fldChar w:fldCharType="end"/>
            </w:r>
          </w:hyperlink>
        </w:p>
        <w:p w14:paraId="6045B4DC" w14:textId="0CB7264F" w:rsidR="00F5347A" w:rsidRDefault="00C31782">
          <w:pPr>
            <w:pStyle w:val="TOC2"/>
            <w:tabs>
              <w:tab w:val="right" w:leader="dot" w:pos="9016"/>
            </w:tabs>
            <w:rPr>
              <w:noProof/>
            </w:rPr>
          </w:pPr>
          <w:hyperlink w:anchor="_Toc5714055" w:history="1">
            <w:r w:rsidR="00F5347A" w:rsidRPr="00FA7CDB">
              <w:rPr>
                <w:rStyle w:val="Hyperlink"/>
                <w:noProof/>
                <w:lang w:val="en-GB"/>
              </w:rPr>
              <w:t>B1. HTT Mortgage Assets</w:t>
            </w:r>
            <w:r w:rsidR="00F5347A">
              <w:rPr>
                <w:noProof/>
                <w:webHidden/>
              </w:rPr>
              <w:tab/>
            </w:r>
            <w:r w:rsidR="00F5347A">
              <w:rPr>
                <w:noProof/>
                <w:webHidden/>
              </w:rPr>
              <w:fldChar w:fldCharType="begin"/>
            </w:r>
            <w:r w:rsidR="00F5347A">
              <w:rPr>
                <w:noProof/>
                <w:webHidden/>
              </w:rPr>
              <w:instrText xml:space="preserve"> PAGEREF _Toc5714055 \h </w:instrText>
            </w:r>
            <w:r w:rsidR="00F5347A">
              <w:rPr>
                <w:noProof/>
                <w:webHidden/>
              </w:rPr>
            </w:r>
            <w:r w:rsidR="00F5347A">
              <w:rPr>
                <w:noProof/>
                <w:webHidden/>
              </w:rPr>
              <w:fldChar w:fldCharType="separate"/>
            </w:r>
            <w:r w:rsidR="00F5347A">
              <w:rPr>
                <w:noProof/>
                <w:webHidden/>
              </w:rPr>
              <w:t>5</w:t>
            </w:r>
            <w:r w:rsidR="00F5347A">
              <w:rPr>
                <w:noProof/>
                <w:webHidden/>
              </w:rPr>
              <w:fldChar w:fldCharType="end"/>
            </w:r>
          </w:hyperlink>
        </w:p>
        <w:p w14:paraId="6D38378F" w14:textId="279062C7" w:rsidR="00F5347A" w:rsidRDefault="00C31782">
          <w:pPr>
            <w:pStyle w:val="TOC3"/>
            <w:tabs>
              <w:tab w:val="right" w:leader="dot" w:pos="9016"/>
            </w:tabs>
            <w:rPr>
              <w:noProof/>
            </w:rPr>
          </w:pPr>
          <w:hyperlink w:anchor="_Toc5714056" w:history="1">
            <w:r w:rsidR="00F5347A" w:rsidRPr="00FA7CDB">
              <w:rPr>
                <w:rStyle w:val="Hyperlink"/>
                <w:noProof/>
                <w:lang w:val="en-GB"/>
              </w:rPr>
              <w:t>4.Breakdown by Geography</w:t>
            </w:r>
            <w:r w:rsidR="00F5347A">
              <w:rPr>
                <w:noProof/>
                <w:webHidden/>
              </w:rPr>
              <w:tab/>
            </w:r>
            <w:r w:rsidR="00F5347A">
              <w:rPr>
                <w:noProof/>
                <w:webHidden/>
              </w:rPr>
              <w:fldChar w:fldCharType="begin"/>
            </w:r>
            <w:r w:rsidR="00F5347A">
              <w:rPr>
                <w:noProof/>
                <w:webHidden/>
              </w:rPr>
              <w:instrText xml:space="preserve"> PAGEREF _Toc5714056 \h </w:instrText>
            </w:r>
            <w:r w:rsidR="00F5347A">
              <w:rPr>
                <w:noProof/>
                <w:webHidden/>
              </w:rPr>
            </w:r>
            <w:r w:rsidR="00F5347A">
              <w:rPr>
                <w:noProof/>
                <w:webHidden/>
              </w:rPr>
              <w:fldChar w:fldCharType="separate"/>
            </w:r>
            <w:r w:rsidR="00F5347A">
              <w:rPr>
                <w:noProof/>
                <w:webHidden/>
              </w:rPr>
              <w:t>5</w:t>
            </w:r>
            <w:r w:rsidR="00F5347A">
              <w:rPr>
                <w:noProof/>
                <w:webHidden/>
              </w:rPr>
              <w:fldChar w:fldCharType="end"/>
            </w:r>
          </w:hyperlink>
        </w:p>
        <w:p w14:paraId="20B84869" w14:textId="105C56E1" w:rsidR="00F5347A" w:rsidRDefault="00C31782">
          <w:pPr>
            <w:pStyle w:val="TOC3"/>
            <w:tabs>
              <w:tab w:val="right" w:leader="dot" w:pos="9016"/>
            </w:tabs>
            <w:rPr>
              <w:noProof/>
            </w:rPr>
          </w:pPr>
          <w:hyperlink w:anchor="_Toc5714057" w:history="1">
            <w:r w:rsidR="00F5347A" w:rsidRPr="00FA7CDB">
              <w:rPr>
                <w:rStyle w:val="Hyperlink"/>
                <w:noProof/>
                <w:lang w:val="en-GB"/>
              </w:rPr>
              <w:t>5. Breakdown by regions of main country of origin</w:t>
            </w:r>
            <w:r w:rsidR="00F5347A">
              <w:rPr>
                <w:noProof/>
                <w:webHidden/>
              </w:rPr>
              <w:tab/>
            </w:r>
            <w:r w:rsidR="00F5347A">
              <w:rPr>
                <w:noProof/>
                <w:webHidden/>
              </w:rPr>
              <w:fldChar w:fldCharType="begin"/>
            </w:r>
            <w:r w:rsidR="00F5347A">
              <w:rPr>
                <w:noProof/>
                <w:webHidden/>
              </w:rPr>
              <w:instrText xml:space="preserve"> PAGEREF _Toc5714057 \h </w:instrText>
            </w:r>
            <w:r w:rsidR="00F5347A">
              <w:rPr>
                <w:noProof/>
                <w:webHidden/>
              </w:rPr>
            </w:r>
            <w:r w:rsidR="00F5347A">
              <w:rPr>
                <w:noProof/>
                <w:webHidden/>
              </w:rPr>
              <w:fldChar w:fldCharType="separate"/>
            </w:r>
            <w:r w:rsidR="00F5347A">
              <w:rPr>
                <w:noProof/>
                <w:webHidden/>
              </w:rPr>
              <w:t>6</w:t>
            </w:r>
            <w:r w:rsidR="00F5347A">
              <w:rPr>
                <w:noProof/>
                <w:webHidden/>
              </w:rPr>
              <w:fldChar w:fldCharType="end"/>
            </w:r>
          </w:hyperlink>
        </w:p>
        <w:p w14:paraId="58BEA781" w14:textId="0DF0E7B9" w:rsidR="00F5347A" w:rsidRDefault="00C31782">
          <w:pPr>
            <w:pStyle w:val="TOC3"/>
            <w:tabs>
              <w:tab w:val="right" w:leader="dot" w:pos="9016"/>
            </w:tabs>
            <w:rPr>
              <w:noProof/>
            </w:rPr>
          </w:pPr>
          <w:hyperlink w:anchor="_Toc5714058" w:history="1">
            <w:r w:rsidR="00F5347A" w:rsidRPr="00FA7CDB">
              <w:rPr>
                <w:rStyle w:val="Hyperlink"/>
                <w:noProof/>
                <w:lang w:val="en-GB"/>
              </w:rPr>
              <w:t>6. Breakdown by Interest Rate</w:t>
            </w:r>
            <w:r w:rsidR="00F5347A">
              <w:rPr>
                <w:noProof/>
                <w:webHidden/>
              </w:rPr>
              <w:tab/>
            </w:r>
            <w:r w:rsidR="00F5347A">
              <w:rPr>
                <w:noProof/>
                <w:webHidden/>
              </w:rPr>
              <w:fldChar w:fldCharType="begin"/>
            </w:r>
            <w:r w:rsidR="00F5347A">
              <w:rPr>
                <w:noProof/>
                <w:webHidden/>
              </w:rPr>
              <w:instrText xml:space="preserve"> PAGEREF _Toc5714058 \h </w:instrText>
            </w:r>
            <w:r w:rsidR="00F5347A">
              <w:rPr>
                <w:noProof/>
                <w:webHidden/>
              </w:rPr>
            </w:r>
            <w:r w:rsidR="00F5347A">
              <w:rPr>
                <w:noProof/>
                <w:webHidden/>
              </w:rPr>
              <w:fldChar w:fldCharType="separate"/>
            </w:r>
            <w:r w:rsidR="00F5347A">
              <w:rPr>
                <w:noProof/>
                <w:webHidden/>
              </w:rPr>
              <w:t>9</w:t>
            </w:r>
            <w:r w:rsidR="00F5347A">
              <w:rPr>
                <w:noProof/>
                <w:webHidden/>
              </w:rPr>
              <w:fldChar w:fldCharType="end"/>
            </w:r>
          </w:hyperlink>
        </w:p>
        <w:p w14:paraId="252CE505" w14:textId="1FF8D5F4" w:rsidR="00F5347A" w:rsidRDefault="00C31782">
          <w:pPr>
            <w:pStyle w:val="TOC3"/>
            <w:tabs>
              <w:tab w:val="right" w:leader="dot" w:pos="9016"/>
            </w:tabs>
            <w:rPr>
              <w:noProof/>
            </w:rPr>
          </w:pPr>
          <w:hyperlink w:anchor="_Toc5714059" w:history="1">
            <w:r w:rsidR="00F5347A" w:rsidRPr="00FA7CDB">
              <w:rPr>
                <w:rStyle w:val="Hyperlink"/>
                <w:noProof/>
                <w:lang w:val="en-GB"/>
              </w:rPr>
              <w:t>7. Breakdown by Repayment Type</w:t>
            </w:r>
            <w:r w:rsidR="00F5347A">
              <w:rPr>
                <w:noProof/>
                <w:webHidden/>
              </w:rPr>
              <w:tab/>
            </w:r>
            <w:r w:rsidR="00F5347A">
              <w:rPr>
                <w:noProof/>
                <w:webHidden/>
              </w:rPr>
              <w:fldChar w:fldCharType="begin"/>
            </w:r>
            <w:r w:rsidR="00F5347A">
              <w:rPr>
                <w:noProof/>
                <w:webHidden/>
              </w:rPr>
              <w:instrText xml:space="preserve"> PAGEREF _Toc5714059 \h </w:instrText>
            </w:r>
            <w:r w:rsidR="00F5347A">
              <w:rPr>
                <w:noProof/>
                <w:webHidden/>
              </w:rPr>
            </w:r>
            <w:r w:rsidR="00F5347A">
              <w:rPr>
                <w:noProof/>
                <w:webHidden/>
              </w:rPr>
              <w:fldChar w:fldCharType="separate"/>
            </w:r>
            <w:r w:rsidR="00F5347A">
              <w:rPr>
                <w:noProof/>
                <w:webHidden/>
              </w:rPr>
              <w:t>9</w:t>
            </w:r>
            <w:r w:rsidR="00F5347A">
              <w:rPr>
                <w:noProof/>
                <w:webHidden/>
              </w:rPr>
              <w:fldChar w:fldCharType="end"/>
            </w:r>
          </w:hyperlink>
        </w:p>
        <w:p w14:paraId="465AAC89" w14:textId="094A2392" w:rsidR="00F5347A" w:rsidRDefault="00C31782">
          <w:pPr>
            <w:pStyle w:val="TOC3"/>
            <w:tabs>
              <w:tab w:val="right" w:leader="dot" w:pos="9016"/>
            </w:tabs>
            <w:rPr>
              <w:noProof/>
            </w:rPr>
          </w:pPr>
          <w:hyperlink w:anchor="_Toc5714060" w:history="1">
            <w:r w:rsidR="00F5347A" w:rsidRPr="00FA7CDB">
              <w:rPr>
                <w:rStyle w:val="Hyperlink"/>
                <w:noProof/>
                <w:lang w:val="en-GB"/>
              </w:rPr>
              <w:t>8. Loan Seasoning</w:t>
            </w:r>
            <w:r w:rsidR="00F5347A">
              <w:rPr>
                <w:noProof/>
                <w:webHidden/>
              </w:rPr>
              <w:tab/>
            </w:r>
            <w:r w:rsidR="00F5347A">
              <w:rPr>
                <w:noProof/>
                <w:webHidden/>
              </w:rPr>
              <w:fldChar w:fldCharType="begin"/>
            </w:r>
            <w:r w:rsidR="00F5347A">
              <w:rPr>
                <w:noProof/>
                <w:webHidden/>
              </w:rPr>
              <w:instrText xml:space="preserve"> PAGEREF _Toc5714060 \h </w:instrText>
            </w:r>
            <w:r w:rsidR="00F5347A">
              <w:rPr>
                <w:noProof/>
                <w:webHidden/>
              </w:rPr>
            </w:r>
            <w:r w:rsidR="00F5347A">
              <w:rPr>
                <w:noProof/>
                <w:webHidden/>
              </w:rPr>
              <w:fldChar w:fldCharType="separate"/>
            </w:r>
            <w:r w:rsidR="00F5347A">
              <w:rPr>
                <w:noProof/>
                <w:webHidden/>
              </w:rPr>
              <w:t>9</w:t>
            </w:r>
            <w:r w:rsidR="00F5347A">
              <w:rPr>
                <w:noProof/>
                <w:webHidden/>
              </w:rPr>
              <w:fldChar w:fldCharType="end"/>
            </w:r>
          </w:hyperlink>
        </w:p>
        <w:p w14:paraId="1F99D4B2" w14:textId="3D16943A" w:rsidR="00F5347A" w:rsidRDefault="00C31782">
          <w:pPr>
            <w:pStyle w:val="TOC3"/>
            <w:tabs>
              <w:tab w:val="right" w:leader="dot" w:pos="9016"/>
            </w:tabs>
            <w:rPr>
              <w:noProof/>
            </w:rPr>
          </w:pPr>
          <w:hyperlink w:anchor="_Toc5714061" w:history="1">
            <w:r w:rsidR="00F5347A" w:rsidRPr="00FA7CDB">
              <w:rPr>
                <w:rStyle w:val="Hyperlink"/>
                <w:noProof/>
                <w:lang w:val="en-GB"/>
              </w:rPr>
              <w:t>10. Loan Size information</w:t>
            </w:r>
            <w:r w:rsidR="00F5347A">
              <w:rPr>
                <w:noProof/>
                <w:webHidden/>
              </w:rPr>
              <w:tab/>
            </w:r>
            <w:r w:rsidR="00F5347A">
              <w:rPr>
                <w:noProof/>
                <w:webHidden/>
              </w:rPr>
              <w:fldChar w:fldCharType="begin"/>
            </w:r>
            <w:r w:rsidR="00F5347A">
              <w:rPr>
                <w:noProof/>
                <w:webHidden/>
              </w:rPr>
              <w:instrText xml:space="preserve"> PAGEREF _Toc5714061 \h </w:instrText>
            </w:r>
            <w:r w:rsidR="00F5347A">
              <w:rPr>
                <w:noProof/>
                <w:webHidden/>
              </w:rPr>
            </w:r>
            <w:r w:rsidR="00F5347A">
              <w:rPr>
                <w:noProof/>
                <w:webHidden/>
              </w:rPr>
              <w:fldChar w:fldCharType="separate"/>
            </w:r>
            <w:r w:rsidR="00F5347A">
              <w:rPr>
                <w:noProof/>
                <w:webHidden/>
              </w:rPr>
              <w:t>9</w:t>
            </w:r>
            <w:r w:rsidR="00F5347A">
              <w:rPr>
                <w:noProof/>
                <w:webHidden/>
              </w:rPr>
              <w:fldChar w:fldCharType="end"/>
            </w:r>
          </w:hyperlink>
        </w:p>
        <w:p w14:paraId="6B816ABB" w14:textId="346B7C13" w:rsidR="00F5347A" w:rsidRDefault="00C31782">
          <w:pPr>
            <w:pStyle w:val="TOC2"/>
            <w:tabs>
              <w:tab w:val="right" w:leader="dot" w:pos="9016"/>
            </w:tabs>
            <w:rPr>
              <w:noProof/>
            </w:rPr>
          </w:pPr>
          <w:hyperlink w:anchor="_Toc5714062" w:history="1">
            <w:r w:rsidR="00F5347A" w:rsidRPr="00FA7CDB">
              <w:rPr>
                <w:rStyle w:val="Hyperlink"/>
                <w:noProof/>
                <w:lang w:val="en-GB"/>
              </w:rPr>
              <w:t>B2. HTT Public Sector Assets</w:t>
            </w:r>
            <w:r w:rsidR="00F5347A">
              <w:rPr>
                <w:noProof/>
                <w:webHidden/>
              </w:rPr>
              <w:tab/>
            </w:r>
            <w:r w:rsidR="00F5347A">
              <w:rPr>
                <w:noProof/>
                <w:webHidden/>
              </w:rPr>
              <w:fldChar w:fldCharType="begin"/>
            </w:r>
            <w:r w:rsidR="00F5347A">
              <w:rPr>
                <w:noProof/>
                <w:webHidden/>
              </w:rPr>
              <w:instrText xml:space="preserve"> PAGEREF _Toc5714062 \h </w:instrText>
            </w:r>
            <w:r w:rsidR="00F5347A">
              <w:rPr>
                <w:noProof/>
                <w:webHidden/>
              </w:rPr>
            </w:r>
            <w:r w:rsidR="00F5347A">
              <w:rPr>
                <w:noProof/>
                <w:webHidden/>
              </w:rPr>
              <w:fldChar w:fldCharType="separate"/>
            </w:r>
            <w:r w:rsidR="00F5347A">
              <w:rPr>
                <w:noProof/>
                <w:webHidden/>
              </w:rPr>
              <w:t>16</w:t>
            </w:r>
            <w:r w:rsidR="00F5347A">
              <w:rPr>
                <w:noProof/>
                <w:webHidden/>
              </w:rPr>
              <w:fldChar w:fldCharType="end"/>
            </w:r>
          </w:hyperlink>
        </w:p>
        <w:p w14:paraId="5EE87F5E" w14:textId="486AB107" w:rsidR="00F5347A" w:rsidRDefault="00C31782">
          <w:pPr>
            <w:pStyle w:val="TOC3"/>
            <w:tabs>
              <w:tab w:val="left" w:pos="880"/>
              <w:tab w:val="right" w:leader="dot" w:pos="9016"/>
            </w:tabs>
            <w:rPr>
              <w:noProof/>
            </w:rPr>
          </w:pPr>
          <w:hyperlink w:anchor="_Toc5714063" w:history="1">
            <w:r w:rsidR="00F5347A" w:rsidRPr="00FA7CDB">
              <w:rPr>
                <w:rStyle w:val="Hyperlink"/>
                <w:noProof/>
                <w:lang w:val="en-GB"/>
              </w:rPr>
              <w:t>2.</w:t>
            </w:r>
            <w:r w:rsidR="00F5347A">
              <w:rPr>
                <w:noProof/>
              </w:rPr>
              <w:tab/>
            </w:r>
            <w:r w:rsidR="00F5347A" w:rsidRPr="00FA7CDB">
              <w:rPr>
                <w:rStyle w:val="Hyperlink"/>
                <w:noProof/>
                <w:lang w:val="en-GB"/>
              </w:rPr>
              <w:t>Size Information</w:t>
            </w:r>
            <w:r w:rsidR="00F5347A">
              <w:rPr>
                <w:noProof/>
                <w:webHidden/>
              </w:rPr>
              <w:tab/>
            </w:r>
            <w:r w:rsidR="00F5347A">
              <w:rPr>
                <w:noProof/>
                <w:webHidden/>
              </w:rPr>
              <w:fldChar w:fldCharType="begin"/>
            </w:r>
            <w:r w:rsidR="00F5347A">
              <w:rPr>
                <w:noProof/>
                <w:webHidden/>
              </w:rPr>
              <w:instrText xml:space="preserve"> PAGEREF _Toc5714063 \h </w:instrText>
            </w:r>
            <w:r w:rsidR="00F5347A">
              <w:rPr>
                <w:noProof/>
                <w:webHidden/>
              </w:rPr>
            </w:r>
            <w:r w:rsidR="00F5347A">
              <w:rPr>
                <w:noProof/>
                <w:webHidden/>
              </w:rPr>
              <w:fldChar w:fldCharType="separate"/>
            </w:r>
            <w:r w:rsidR="00F5347A">
              <w:rPr>
                <w:noProof/>
                <w:webHidden/>
              </w:rPr>
              <w:t>16</w:t>
            </w:r>
            <w:r w:rsidR="00F5347A">
              <w:rPr>
                <w:noProof/>
                <w:webHidden/>
              </w:rPr>
              <w:fldChar w:fldCharType="end"/>
            </w:r>
          </w:hyperlink>
        </w:p>
        <w:p w14:paraId="186B27AC" w14:textId="2DD8129F" w:rsidR="00F5347A" w:rsidRDefault="00C31782">
          <w:pPr>
            <w:pStyle w:val="TOC2"/>
            <w:tabs>
              <w:tab w:val="right" w:leader="dot" w:pos="9016"/>
            </w:tabs>
            <w:rPr>
              <w:noProof/>
            </w:rPr>
          </w:pPr>
          <w:hyperlink w:anchor="_Toc5714064" w:history="1">
            <w:r w:rsidR="00F5347A" w:rsidRPr="00FA7CDB">
              <w:rPr>
                <w:rStyle w:val="Hyperlink"/>
                <w:noProof/>
                <w:lang w:val="en-GB"/>
              </w:rPr>
              <w:t>E. Optional ECB-ECAIs data</w:t>
            </w:r>
            <w:r w:rsidR="00F5347A">
              <w:rPr>
                <w:noProof/>
                <w:webHidden/>
              </w:rPr>
              <w:tab/>
            </w:r>
            <w:r w:rsidR="00F5347A">
              <w:rPr>
                <w:noProof/>
                <w:webHidden/>
              </w:rPr>
              <w:fldChar w:fldCharType="begin"/>
            </w:r>
            <w:r w:rsidR="00F5347A">
              <w:rPr>
                <w:noProof/>
                <w:webHidden/>
              </w:rPr>
              <w:instrText xml:space="preserve"> PAGEREF _Toc5714064 \h </w:instrText>
            </w:r>
            <w:r w:rsidR="00F5347A">
              <w:rPr>
                <w:noProof/>
                <w:webHidden/>
              </w:rPr>
            </w:r>
            <w:r w:rsidR="00F5347A">
              <w:rPr>
                <w:noProof/>
                <w:webHidden/>
              </w:rPr>
              <w:fldChar w:fldCharType="separate"/>
            </w:r>
            <w:r w:rsidR="00F5347A">
              <w:rPr>
                <w:noProof/>
                <w:webHidden/>
              </w:rPr>
              <w:t>19</w:t>
            </w:r>
            <w:r w:rsidR="00F5347A">
              <w:rPr>
                <w:noProof/>
                <w:webHidden/>
              </w:rPr>
              <w:fldChar w:fldCharType="end"/>
            </w:r>
          </w:hyperlink>
        </w:p>
        <w:p w14:paraId="61DDA1E3" w14:textId="58ADBC4B" w:rsidR="00F5347A" w:rsidRDefault="00C31782">
          <w:pPr>
            <w:pStyle w:val="TOC3"/>
            <w:tabs>
              <w:tab w:val="right" w:leader="dot" w:pos="9016"/>
            </w:tabs>
            <w:rPr>
              <w:noProof/>
            </w:rPr>
          </w:pPr>
          <w:hyperlink w:anchor="_Toc5714065" w:history="1">
            <w:r w:rsidR="00F5347A" w:rsidRPr="00FA7CDB">
              <w:rPr>
                <w:rStyle w:val="Hyperlink"/>
                <w:noProof/>
                <w:lang w:val="en-GB"/>
              </w:rPr>
              <w:t>Section 3.2 Arrears</w:t>
            </w:r>
            <w:r w:rsidR="00F5347A">
              <w:rPr>
                <w:noProof/>
                <w:webHidden/>
              </w:rPr>
              <w:tab/>
            </w:r>
            <w:r w:rsidR="00F5347A">
              <w:rPr>
                <w:noProof/>
                <w:webHidden/>
              </w:rPr>
              <w:fldChar w:fldCharType="begin"/>
            </w:r>
            <w:r w:rsidR="00F5347A">
              <w:rPr>
                <w:noProof/>
                <w:webHidden/>
              </w:rPr>
              <w:instrText xml:space="preserve"> PAGEREF _Toc5714065 \h </w:instrText>
            </w:r>
            <w:r w:rsidR="00F5347A">
              <w:rPr>
                <w:noProof/>
                <w:webHidden/>
              </w:rPr>
            </w:r>
            <w:r w:rsidR="00F5347A">
              <w:rPr>
                <w:noProof/>
                <w:webHidden/>
              </w:rPr>
              <w:fldChar w:fldCharType="separate"/>
            </w:r>
            <w:r w:rsidR="00F5347A">
              <w:rPr>
                <w:noProof/>
                <w:webHidden/>
              </w:rPr>
              <w:t>19</w:t>
            </w:r>
            <w:r w:rsidR="00F5347A">
              <w:rPr>
                <w:noProof/>
                <w:webHidden/>
              </w:rPr>
              <w:fldChar w:fldCharType="end"/>
            </w:r>
          </w:hyperlink>
        </w:p>
        <w:p w14:paraId="61EBBA55" w14:textId="23B06CCA" w:rsidR="00F5347A" w:rsidRDefault="00F5347A">
          <w:r>
            <w:rPr>
              <w:b/>
              <w:bCs/>
              <w:noProof/>
            </w:rPr>
            <w:fldChar w:fldCharType="end"/>
          </w:r>
        </w:p>
      </w:sdtContent>
    </w:sdt>
    <w:p w14:paraId="7CF631D5" w14:textId="0BE2A3E8" w:rsidR="00971867" w:rsidRPr="00A14C50" w:rsidRDefault="00F5347A" w:rsidP="00F5347A">
      <w:pPr>
        <w:spacing w:after="160" w:line="259" w:lineRule="auto"/>
        <w:rPr>
          <w:rFonts w:ascii="Verdana" w:hAnsi="Verdana"/>
          <w:color w:val="E27725"/>
          <w:sz w:val="18"/>
          <w:szCs w:val="18"/>
          <w:lang w:val="en-GB"/>
        </w:rPr>
      </w:pPr>
      <w:r>
        <w:rPr>
          <w:rFonts w:ascii="Verdana" w:hAnsi="Verdana"/>
          <w:color w:val="E27725"/>
          <w:sz w:val="18"/>
          <w:szCs w:val="18"/>
          <w:lang w:val="en-GB"/>
        </w:rPr>
        <w:br w:type="page"/>
      </w:r>
    </w:p>
    <w:p w14:paraId="51EF7833" w14:textId="77777777" w:rsidR="00971867" w:rsidRDefault="00971867" w:rsidP="007C20D2">
      <w:pPr>
        <w:pStyle w:val="Heading1"/>
        <w:rPr>
          <w:lang w:val="en-GB"/>
        </w:rPr>
      </w:pPr>
      <w:bookmarkStart w:id="1" w:name="_Toc5714044"/>
      <w:r>
        <w:rPr>
          <w:lang w:val="en-GB"/>
        </w:rPr>
        <w:lastRenderedPageBreak/>
        <w:t>Purpose</w:t>
      </w:r>
      <w:bookmarkEnd w:id="1"/>
    </w:p>
    <w:p w14:paraId="6AE30D73" w14:textId="77777777" w:rsidR="00971867" w:rsidRDefault="00971867" w:rsidP="00971867">
      <w:pPr>
        <w:spacing w:after="0" w:line="288" w:lineRule="auto"/>
        <w:jc w:val="both"/>
        <w:rPr>
          <w:rFonts w:ascii="Verdana" w:hAnsi="Verdana"/>
          <w:color w:val="000000"/>
          <w:sz w:val="18"/>
          <w:szCs w:val="18"/>
          <w:lang w:val="en-GB"/>
        </w:rPr>
      </w:pPr>
    </w:p>
    <w:p w14:paraId="2387D536" w14:textId="2F7FA506" w:rsidR="005D744A" w:rsidRDefault="00971867" w:rsidP="00971867">
      <w:pPr>
        <w:spacing w:after="0" w:line="288" w:lineRule="auto"/>
        <w:jc w:val="both"/>
        <w:rPr>
          <w:rFonts w:ascii="Verdana" w:hAnsi="Verdana"/>
          <w:color w:val="000000"/>
          <w:sz w:val="18"/>
          <w:szCs w:val="18"/>
          <w:lang w:val="en-GB"/>
        </w:rPr>
      </w:pPr>
      <w:r>
        <w:rPr>
          <w:rFonts w:ascii="Verdana" w:hAnsi="Verdana"/>
          <w:color w:val="000000"/>
          <w:sz w:val="18"/>
          <w:szCs w:val="18"/>
          <w:lang w:val="en-GB"/>
        </w:rPr>
        <w:t>Currently over 125 active cover pools from 106 issuers in 18 jurisdiction, representing around 70% of the global outstanding covered bond market provides the Covered Bond Label the critical mass to be considered as a standard setter for both established and new jurisdiction of this market. Against this background it is of paramount importance to be able</w:t>
      </w:r>
      <w:r w:rsidR="005D744A">
        <w:rPr>
          <w:rFonts w:ascii="Verdana" w:hAnsi="Verdana"/>
          <w:color w:val="000000"/>
          <w:sz w:val="18"/>
          <w:szCs w:val="18"/>
          <w:lang w:val="en-GB"/>
        </w:rPr>
        <w:t xml:space="preserve"> to produce consistent Harmonised Transparency Templates (HTT) which can be easily compared both within the same jurisdiction and also cross-country. </w:t>
      </w:r>
      <w:r>
        <w:rPr>
          <w:rFonts w:ascii="Verdana" w:hAnsi="Verdana"/>
          <w:color w:val="000000"/>
          <w:sz w:val="18"/>
          <w:szCs w:val="18"/>
          <w:lang w:val="en-GB"/>
        </w:rPr>
        <w:t xml:space="preserve"> </w:t>
      </w:r>
      <w:r w:rsidR="005D744A">
        <w:rPr>
          <w:rFonts w:ascii="Verdana" w:hAnsi="Verdana"/>
          <w:color w:val="000000"/>
          <w:sz w:val="18"/>
          <w:szCs w:val="18"/>
          <w:lang w:val="en-GB"/>
        </w:rPr>
        <w:t xml:space="preserve">The industry already has made a great effort by producing the HTT to decide upon a shared common Excel reporting tool to be used for the cover pool reporting. In order to reap the potentiality of the HTT the Covered Bond Label decided to provide to labelled issuers the following </w:t>
      </w:r>
      <w:r w:rsidR="00473775">
        <w:rPr>
          <w:rFonts w:ascii="Verdana" w:hAnsi="Verdana"/>
          <w:color w:val="000000"/>
          <w:sz w:val="18"/>
          <w:szCs w:val="18"/>
          <w:lang w:val="en-GB"/>
        </w:rPr>
        <w:t xml:space="preserve">draft of </w:t>
      </w:r>
      <w:r w:rsidR="005D744A">
        <w:rPr>
          <w:rFonts w:ascii="Verdana" w:hAnsi="Verdana"/>
          <w:color w:val="000000"/>
          <w:sz w:val="18"/>
          <w:szCs w:val="18"/>
          <w:lang w:val="en-GB"/>
        </w:rPr>
        <w:t xml:space="preserve">HTT completion guidelines, which </w:t>
      </w:r>
      <w:r w:rsidR="00473775">
        <w:rPr>
          <w:rFonts w:ascii="Verdana" w:hAnsi="Verdana"/>
          <w:color w:val="000000"/>
          <w:sz w:val="18"/>
          <w:szCs w:val="18"/>
          <w:lang w:val="en-GB"/>
        </w:rPr>
        <w:t>will be object of discussion of the Label</w:t>
      </w:r>
      <w:r w:rsidR="005D744A">
        <w:rPr>
          <w:rFonts w:ascii="Verdana" w:hAnsi="Verdana"/>
          <w:color w:val="000000"/>
          <w:sz w:val="18"/>
          <w:szCs w:val="18"/>
          <w:lang w:val="en-GB"/>
        </w:rPr>
        <w:t xml:space="preserve"> Committee Meeting of the </w:t>
      </w:r>
      <w:r w:rsidR="0052164D">
        <w:rPr>
          <w:rFonts w:ascii="Verdana" w:hAnsi="Verdana"/>
          <w:color w:val="000000"/>
          <w:sz w:val="18"/>
          <w:szCs w:val="18"/>
          <w:lang w:val="en-GB"/>
        </w:rPr>
        <w:t>24 April 2019</w:t>
      </w:r>
      <w:r w:rsidR="00473775">
        <w:rPr>
          <w:rFonts w:ascii="Verdana" w:hAnsi="Verdana"/>
          <w:color w:val="000000"/>
          <w:sz w:val="18"/>
          <w:szCs w:val="18"/>
          <w:lang w:val="en-GB"/>
        </w:rPr>
        <w:t xml:space="preserve"> and open to comments from national coordinators as well as the wider Label community. </w:t>
      </w:r>
    </w:p>
    <w:p w14:paraId="2D0B49C4" w14:textId="77777777" w:rsidR="00473775" w:rsidRDefault="00473775" w:rsidP="00971867">
      <w:pPr>
        <w:spacing w:after="0" w:line="288" w:lineRule="auto"/>
        <w:jc w:val="both"/>
        <w:rPr>
          <w:rFonts w:ascii="Verdana" w:hAnsi="Verdana"/>
          <w:color w:val="000000"/>
          <w:sz w:val="18"/>
          <w:szCs w:val="18"/>
          <w:lang w:val="en-GB"/>
        </w:rPr>
      </w:pPr>
    </w:p>
    <w:p w14:paraId="2519B32E" w14:textId="77777777" w:rsidR="00473775" w:rsidRDefault="00473775" w:rsidP="007C20D2">
      <w:pPr>
        <w:pStyle w:val="Heading1"/>
        <w:rPr>
          <w:lang w:val="en-GB"/>
        </w:rPr>
      </w:pPr>
      <w:bookmarkStart w:id="2" w:name="_Toc5714045"/>
      <w:r>
        <w:rPr>
          <w:lang w:val="en-GB"/>
        </w:rPr>
        <w:t>Scope</w:t>
      </w:r>
      <w:bookmarkEnd w:id="2"/>
    </w:p>
    <w:p w14:paraId="65FBB06B" w14:textId="77777777" w:rsidR="00473775" w:rsidRDefault="00473775" w:rsidP="00971867">
      <w:pPr>
        <w:spacing w:after="0" w:line="288" w:lineRule="auto"/>
        <w:jc w:val="both"/>
        <w:rPr>
          <w:rFonts w:ascii="Verdana" w:hAnsi="Verdana"/>
          <w:color w:val="000000"/>
          <w:sz w:val="18"/>
          <w:szCs w:val="18"/>
          <w:lang w:val="en-GB"/>
        </w:rPr>
      </w:pPr>
    </w:p>
    <w:p w14:paraId="03ABE85E" w14:textId="401BD7A7" w:rsidR="00971867" w:rsidRDefault="00473775" w:rsidP="00473775">
      <w:pPr>
        <w:spacing w:after="0" w:line="288" w:lineRule="auto"/>
        <w:jc w:val="both"/>
        <w:rPr>
          <w:rFonts w:ascii="Verdana" w:hAnsi="Verdana"/>
          <w:color w:val="000000"/>
          <w:sz w:val="18"/>
          <w:szCs w:val="18"/>
          <w:lang w:val="en-GB"/>
        </w:rPr>
      </w:pPr>
      <w:r>
        <w:rPr>
          <w:rFonts w:ascii="Verdana" w:hAnsi="Verdana"/>
          <w:color w:val="000000"/>
          <w:sz w:val="18"/>
          <w:szCs w:val="18"/>
          <w:lang w:val="en-GB"/>
        </w:rPr>
        <w:t>Bearing in mind the balance of providing consistent HTT reports throughout the Label issuers and respecting national or issuer-specific particularities, this completion guidelines aims at sections which are of easy harmonisation and</w:t>
      </w:r>
      <w:r w:rsidR="003F169A">
        <w:rPr>
          <w:rFonts w:ascii="Verdana" w:hAnsi="Verdana"/>
          <w:color w:val="000000"/>
          <w:sz w:val="18"/>
          <w:szCs w:val="18"/>
          <w:lang w:val="en-GB"/>
        </w:rPr>
        <w:t xml:space="preserve"> which necessitate more clarity in order not to provide </w:t>
      </w:r>
      <w:r w:rsidR="0052164D">
        <w:rPr>
          <w:rFonts w:ascii="Verdana" w:hAnsi="Verdana"/>
          <w:color w:val="000000"/>
          <w:sz w:val="18"/>
          <w:szCs w:val="18"/>
          <w:lang w:val="en-GB"/>
        </w:rPr>
        <w:t>misleading</w:t>
      </w:r>
      <w:r w:rsidR="003F169A">
        <w:rPr>
          <w:rFonts w:ascii="Verdana" w:hAnsi="Verdana"/>
          <w:color w:val="000000"/>
          <w:sz w:val="18"/>
          <w:szCs w:val="18"/>
          <w:lang w:val="en-GB"/>
        </w:rPr>
        <w:t xml:space="preserve"> information among the HTTs. </w:t>
      </w:r>
    </w:p>
    <w:p w14:paraId="74FE1C69" w14:textId="77777777" w:rsidR="003F169A" w:rsidRDefault="003F169A" w:rsidP="00473775">
      <w:pPr>
        <w:spacing w:after="0" w:line="288" w:lineRule="auto"/>
        <w:jc w:val="both"/>
        <w:rPr>
          <w:rFonts w:ascii="Verdana" w:hAnsi="Verdana"/>
          <w:color w:val="000000"/>
          <w:sz w:val="18"/>
          <w:szCs w:val="18"/>
          <w:lang w:val="en-GB"/>
        </w:rPr>
      </w:pPr>
    </w:p>
    <w:p w14:paraId="5394E62C" w14:textId="77777777" w:rsidR="003F169A" w:rsidRDefault="003F169A" w:rsidP="00473775">
      <w:pPr>
        <w:spacing w:after="0" w:line="288" w:lineRule="auto"/>
        <w:jc w:val="both"/>
        <w:rPr>
          <w:rFonts w:ascii="Verdana" w:hAnsi="Verdana"/>
          <w:color w:val="000000"/>
          <w:sz w:val="18"/>
          <w:szCs w:val="18"/>
          <w:lang w:val="en-GB"/>
        </w:rPr>
      </w:pPr>
      <w:r>
        <w:rPr>
          <w:rFonts w:ascii="Verdana" w:hAnsi="Verdana"/>
          <w:color w:val="000000"/>
          <w:sz w:val="18"/>
          <w:szCs w:val="18"/>
          <w:lang w:val="en-GB"/>
        </w:rPr>
        <w:t xml:space="preserve">These guidelines are to be considered as a complement to the general </w:t>
      </w:r>
      <w:r w:rsidR="00300F59">
        <w:rPr>
          <w:rFonts w:ascii="Verdana" w:hAnsi="Verdana"/>
          <w:color w:val="000000"/>
          <w:sz w:val="18"/>
          <w:szCs w:val="18"/>
          <w:lang w:val="en-GB"/>
        </w:rPr>
        <w:t xml:space="preserve">HTT revision process which follows the </w:t>
      </w:r>
      <w:r w:rsidR="008C4FB6">
        <w:rPr>
          <w:rFonts w:ascii="Verdana" w:hAnsi="Verdana"/>
          <w:color w:val="000000"/>
          <w:sz w:val="18"/>
          <w:szCs w:val="18"/>
          <w:lang w:val="en-GB"/>
        </w:rPr>
        <w:t>procedures decided and applied by the Label Committee.</w:t>
      </w:r>
    </w:p>
    <w:p w14:paraId="124F13E8" w14:textId="77777777" w:rsidR="008C4FB6" w:rsidRDefault="008C4FB6" w:rsidP="008C4FB6">
      <w:pPr>
        <w:spacing w:after="160" w:line="259" w:lineRule="auto"/>
        <w:rPr>
          <w:rFonts w:ascii="Verdana" w:hAnsi="Verdana"/>
          <w:color w:val="000000"/>
          <w:sz w:val="18"/>
          <w:szCs w:val="18"/>
          <w:lang w:val="en-GB"/>
        </w:rPr>
      </w:pPr>
      <w:r>
        <w:rPr>
          <w:rFonts w:ascii="Verdana" w:hAnsi="Verdana"/>
          <w:color w:val="000000"/>
          <w:sz w:val="18"/>
          <w:szCs w:val="18"/>
          <w:lang w:val="en-GB"/>
        </w:rPr>
        <w:br w:type="page"/>
      </w:r>
    </w:p>
    <w:p w14:paraId="7EBB70A9" w14:textId="77777777" w:rsidR="00BE3724" w:rsidRPr="00BE3724" w:rsidRDefault="00BE3724" w:rsidP="007C20D2">
      <w:pPr>
        <w:pStyle w:val="Heading1"/>
        <w:rPr>
          <w:lang w:val="en-GB"/>
        </w:rPr>
      </w:pPr>
      <w:bookmarkStart w:id="3" w:name="_Toc5714046"/>
      <w:r w:rsidRPr="00BE3724">
        <w:rPr>
          <w:lang w:val="en-GB"/>
        </w:rPr>
        <w:lastRenderedPageBreak/>
        <w:t>General guidelines</w:t>
      </w:r>
      <w:bookmarkEnd w:id="3"/>
    </w:p>
    <w:p w14:paraId="77DE0B3D" w14:textId="77777777" w:rsidR="00BE3724" w:rsidRDefault="00BE3724" w:rsidP="00BE3724">
      <w:pPr>
        <w:spacing w:after="0" w:line="288" w:lineRule="auto"/>
        <w:jc w:val="both"/>
        <w:rPr>
          <w:rFonts w:ascii="Verdana" w:hAnsi="Verdana"/>
          <w:color w:val="000000"/>
          <w:sz w:val="18"/>
          <w:szCs w:val="18"/>
          <w:lang w:val="en-GB"/>
        </w:rPr>
      </w:pPr>
    </w:p>
    <w:p w14:paraId="1C620924" w14:textId="77777777" w:rsidR="00197906" w:rsidRDefault="00197906" w:rsidP="00BE3724">
      <w:pPr>
        <w:pStyle w:val="ListParagraph"/>
        <w:numPr>
          <w:ilvl w:val="0"/>
          <w:numId w:val="4"/>
        </w:numPr>
        <w:spacing w:after="0" w:line="288" w:lineRule="auto"/>
        <w:jc w:val="both"/>
        <w:rPr>
          <w:rFonts w:ascii="Verdana" w:hAnsi="Verdana"/>
          <w:color w:val="000000"/>
          <w:sz w:val="18"/>
          <w:szCs w:val="18"/>
          <w:lang w:val="en-GB"/>
        </w:rPr>
      </w:pPr>
      <w:r>
        <w:rPr>
          <w:rFonts w:ascii="Verdana" w:hAnsi="Verdana"/>
          <w:color w:val="000000"/>
          <w:sz w:val="18"/>
          <w:szCs w:val="18"/>
          <w:lang w:val="en-GB"/>
        </w:rPr>
        <w:t>Every pool has one separate HTT. Issuers with more than one cover pool have to present as many separate HTTs as the number of pools.</w:t>
      </w:r>
    </w:p>
    <w:p w14:paraId="780565CB" w14:textId="77777777" w:rsidR="00BE3724" w:rsidRDefault="00BE3724" w:rsidP="00BE3724">
      <w:pPr>
        <w:pStyle w:val="ListParagraph"/>
        <w:numPr>
          <w:ilvl w:val="0"/>
          <w:numId w:val="4"/>
        </w:numPr>
        <w:spacing w:after="0" w:line="288" w:lineRule="auto"/>
        <w:jc w:val="both"/>
        <w:rPr>
          <w:rFonts w:ascii="Verdana" w:hAnsi="Verdana"/>
          <w:color w:val="000000"/>
          <w:sz w:val="18"/>
          <w:szCs w:val="18"/>
          <w:lang w:val="en-GB"/>
        </w:rPr>
      </w:pPr>
      <w:r>
        <w:rPr>
          <w:rFonts w:ascii="Verdana" w:hAnsi="Verdana"/>
          <w:color w:val="000000"/>
          <w:sz w:val="18"/>
          <w:szCs w:val="18"/>
          <w:lang w:val="en-GB"/>
        </w:rPr>
        <w:t>All cells that include “[For completion]” and “[Mark as ND if not relevant]” needs to be completed</w:t>
      </w:r>
    </w:p>
    <w:p w14:paraId="021F1409" w14:textId="77777777" w:rsidR="00BE3724" w:rsidRDefault="00BE3724" w:rsidP="00BE3724">
      <w:pPr>
        <w:pStyle w:val="ListParagraph"/>
        <w:numPr>
          <w:ilvl w:val="0"/>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The  "[For completion]" or "[Mark as ND if not relevant]" cells could be filled with:</w:t>
      </w:r>
    </w:p>
    <w:p w14:paraId="7D505756" w14:textId="77777777" w:rsidR="00BE3724" w:rsidRPr="00BE3724" w:rsidRDefault="00BE3724" w:rsidP="00BE3724">
      <w:pPr>
        <w:pStyle w:val="ListParagraph"/>
        <w:numPr>
          <w:ilvl w:val="1"/>
          <w:numId w:val="4"/>
        </w:numPr>
        <w:spacing w:after="0" w:line="288" w:lineRule="auto"/>
        <w:jc w:val="both"/>
        <w:rPr>
          <w:rFonts w:ascii="Verdana" w:hAnsi="Verdana"/>
          <w:color w:val="000000"/>
          <w:sz w:val="18"/>
          <w:szCs w:val="18"/>
          <w:lang w:val="en-GB"/>
        </w:rPr>
      </w:pPr>
      <w:r w:rsidRPr="00BE3724">
        <w:rPr>
          <w:rFonts w:eastAsia="Times New Roman" w:cs="Calibri"/>
          <w:color w:val="000000"/>
          <w:lang w:val="en-GB" w:eastAsia="en-GB"/>
        </w:rPr>
        <w:t>A Numbers: Please insert the appropriate data</w:t>
      </w:r>
    </w:p>
    <w:p w14:paraId="0E3375AF" w14:textId="77777777" w:rsidR="00BE3724" w:rsidRDefault="00BE3724" w:rsidP="00BE3724">
      <w:pPr>
        <w:pStyle w:val="ListParagraph"/>
        <w:numPr>
          <w:ilvl w:val="1"/>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B Letters: Please insert either No Data (ND)</w:t>
      </w:r>
      <w:r>
        <w:rPr>
          <w:rFonts w:ascii="Verdana" w:hAnsi="Verdana"/>
          <w:color w:val="000000"/>
          <w:sz w:val="18"/>
          <w:szCs w:val="18"/>
          <w:lang w:val="en-GB"/>
        </w:rPr>
        <w:t>:</w:t>
      </w:r>
    </w:p>
    <w:p w14:paraId="6736734B" w14:textId="77777777" w:rsidR="00BE3724" w:rsidRDefault="00BE3724" w:rsidP="00BE3724">
      <w:pPr>
        <w:pStyle w:val="ListParagraph"/>
        <w:numPr>
          <w:ilvl w:val="2"/>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 xml:space="preserve">ND1: Please complete the cell with ND1 when the information is not applicable for the jurisdiction </w:t>
      </w:r>
    </w:p>
    <w:p w14:paraId="2EF1F158" w14:textId="77777777" w:rsidR="00BE3724" w:rsidRDefault="00BE3724" w:rsidP="00BE3724">
      <w:pPr>
        <w:pStyle w:val="ListParagraph"/>
        <w:numPr>
          <w:ilvl w:val="2"/>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ND2: Please complete the cell with ND2 when the information is not relevant for the issuer and/or CB programme at the present time</w:t>
      </w:r>
    </w:p>
    <w:p w14:paraId="12C4826E" w14:textId="77777777" w:rsidR="00BE3724" w:rsidRDefault="00BE3724" w:rsidP="00BE3724">
      <w:pPr>
        <w:pStyle w:val="ListParagraph"/>
        <w:numPr>
          <w:ilvl w:val="2"/>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ND3: Please complete the cell with ND3 when the information is not available at the present time</w:t>
      </w:r>
    </w:p>
    <w:p w14:paraId="17CC780D" w14:textId="77777777" w:rsidR="00BE3724" w:rsidRDefault="00BE3724" w:rsidP="00BE3724">
      <w:pPr>
        <w:pStyle w:val="ListParagraph"/>
        <w:numPr>
          <w:ilvl w:val="0"/>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Please note that</w:t>
      </w:r>
      <w:r>
        <w:rPr>
          <w:rFonts w:ascii="Verdana" w:hAnsi="Verdana"/>
          <w:color w:val="000000"/>
          <w:sz w:val="18"/>
          <w:szCs w:val="18"/>
          <w:lang w:val="en-GB"/>
        </w:rPr>
        <w:t xml:space="preserve"> where provided</w:t>
      </w:r>
      <w:r w:rsidRPr="00BE3724">
        <w:rPr>
          <w:rFonts w:ascii="Verdana" w:hAnsi="Verdana"/>
          <w:color w:val="000000"/>
          <w:sz w:val="18"/>
          <w:szCs w:val="18"/>
          <w:lang w:val="en-GB"/>
        </w:rPr>
        <w:t xml:space="preserve"> the percentage cells will be automatically completed by the spreadsheet.</w:t>
      </w:r>
    </w:p>
    <w:p w14:paraId="1A264625" w14:textId="77777777" w:rsidR="00197906" w:rsidRPr="00BE3724" w:rsidRDefault="00197906" w:rsidP="00BE3724">
      <w:pPr>
        <w:pStyle w:val="ListParagraph"/>
        <w:numPr>
          <w:ilvl w:val="0"/>
          <w:numId w:val="4"/>
        </w:numPr>
        <w:spacing w:after="0" w:line="288" w:lineRule="auto"/>
        <w:jc w:val="both"/>
        <w:rPr>
          <w:rFonts w:ascii="Verdana" w:hAnsi="Verdana"/>
          <w:color w:val="000000"/>
          <w:sz w:val="18"/>
          <w:szCs w:val="18"/>
          <w:lang w:val="en-GB"/>
        </w:rPr>
      </w:pPr>
      <w:r>
        <w:rPr>
          <w:rFonts w:ascii="Verdana" w:hAnsi="Verdana"/>
          <w:color w:val="000000"/>
          <w:sz w:val="18"/>
          <w:szCs w:val="18"/>
          <w:lang w:val="en-GB"/>
        </w:rPr>
        <w:t xml:space="preserve">The wording of the tabs referring to the HTT (the ones with an orange tab colour) are not to be changed. </w:t>
      </w:r>
    </w:p>
    <w:p w14:paraId="495DAE7E" w14:textId="77777777" w:rsidR="00BE3724" w:rsidRDefault="00BE3724" w:rsidP="00BE3724">
      <w:pPr>
        <w:pStyle w:val="ListParagraph"/>
        <w:numPr>
          <w:ilvl w:val="0"/>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Should you wish to insert your National Transparency Template worksheet(s) in the HTT, please follow our instructions in the box below.</w:t>
      </w:r>
    </w:p>
    <w:p w14:paraId="29FBE254" w14:textId="77777777" w:rsidR="00BE3724" w:rsidRPr="00BE3724" w:rsidRDefault="00BE3724" w:rsidP="00BE3724">
      <w:pPr>
        <w:pStyle w:val="ListParagraph"/>
        <w:numPr>
          <w:ilvl w:val="1"/>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Please do not forget to change the name of the worksheet in order to be consistent with the numbering of the existing ones (starting with D.).</w:t>
      </w:r>
    </w:p>
    <w:p w14:paraId="3F268017" w14:textId="77777777" w:rsidR="00BE3724" w:rsidRDefault="00BE3724" w:rsidP="00BE3724">
      <w:pPr>
        <w:pStyle w:val="ListParagraph"/>
        <w:numPr>
          <w:ilvl w:val="1"/>
          <w:numId w:val="4"/>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Please update the Introduction Tab accordingly</w:t>
      </w:r>
      <w:r>
        <w:rPr>
          <w:rFonts w:ascii="Verdana" w:hAnsi="Verdana"/>
          <w:color w:val="000000"/>
          <w:sz w:val="18"/>
          <w:szCs w:val="18"/>
          <w:lang w:val="en-GB"/>
        </w:rPr>
        <w:t>.</w:t>
      </w:r>
    </w:p>
    <w:p w14:paraId="430CC873" w14:textId="77777777" w:rsidR="00BE3724" w:rsidRPr="00BE3724" w:rsidRDefault="00BE3724" w:rsidP="00BE3724">
      <w:pPr>
        <w:pStyle w:val="ListParagraph"/>
        <w:numPr>
          <w:ilvl w:val="0"/>
          <w:numId w:val="4"/>
        </w:numPr>
        <w:spacing w:after="0" w:line="288" w:lineRule="auto"/>
        <w:jc w:val="both"/>
        <w:rPr>
          <w:rFonts w:ascii="Verdana" w:hAnsi="Verdana"/>
          <w:color w:val="000000"/>
          <w:sz w:val="18"/>
          <w:szCs w:val="18"/>
          <w:lang w:val="en-GB"/>
        </w:rPr>
      </w:pPr>
      <w:r w:rsidRPr="00BE3724">
        <w:rPr>
          <w:rFonts w:eastAsia="Times New Roman" w:cs="Calibri"/>
          <w:color w:val="000000"/>
          <w:lang w:val="en-GB" w:eastAsia="en-GB"/>
        </w:rPr>
        <w:t>Please delete tab D (Insert National Transparency Template) and the example tabs if unused.</w:t>
      </w:r>
    </w:p>
    <w:p w14:paraId="5C72B24D" w14:textId="77777777" w:rsidR="00BE3724" w:rsidRPr="00BE3724" w:rsidRDefault="00BE3724" w:rsidP="00BE3724">
      <w:pPr>
        <w:pStyle w:val="ListParagraph"/>
        <w:numPr>
          <w:ilvl w:val="1"/>
          <w:numId w:val="4"/>
        </w:numPr>
        <w:spacing w:after="0" w:line="288" w:lineRule="auto"/>
        <w:jc w:val="both"/>
        <w:rPr>
          <w:rFonts w:ascii="Verdana" w:hAnsi="Verdana"/>
          <w:color w:val="000000"/>
          <w:sz w:val="18"/>
          <w:szCs w:val="18"/>
          <w:lang w:val="en-GB"/>
        </w:rPr>
      </w:pPr>
      <w:r w:rsidRPr="00BE3724">
        <w:rPr>
          <w:rFonts w:eastAsia="Times New Roman" w:cs="Calibri"/>
          <w:color w:val="000000"/>
          <w:lang w:val="en-GB" w:eastAsia="en-GB"/>
        </w:rPr>
        <w:t>Please update the introduction Tab accordingly.</w:t>
      </w:r>
    </w:p>
    <w:p w14:paraId="372F1B99" w14:textId="01D80567" w:rsidR="00BE3724" w:rsidRPr="0052164D" w:rsidRDefault="00BE3724" w:rsidP="00BE3724">
      <w:pPr>
        <w:pStyle w:val="ListParagraph"/>
        <w:numPr>
          <w:ilvl w:val="0"/>
          <w:numId w:val="4"/>
        </w:numPr>
        <w:spacing w:after="0" w:line="288" w:lineRule="auto"/>
        <w:jc w:val="both"/>
        <w:rPr>
          <w:rFonts w:ascii="Verdana" w:hAnsi="Verdana"/>
          <w:color w:val="000000"/>
          <w:sz w:val="18"/>
          <w:szCs w:val="18"/>
          <w:lang w:val="en-GB"/>
        </w:rPr>
      </w:pPr>
      <w:r w:rsidRPr="00BE3724">
        <w:rPr>
          <w:rFonts w:eastAsia="Times New Roman" w:cs="Calibri"/>
          <w:color w:val="000000"/>
          <w:lang w:val="en-GB" w:eastAsia="en-GB"/>
        </w:rPr>
        <w:t>Should you make references to external documents or cells in this document, please insert the hyperlink.</w:t>
      </w:r>
    </w:p>
    <w:p w14:paraId="5753E26F" w14:textId="59314E4D" w:rsidR="0052164D" w:rsidRPr="00BE3724" w:rsidRDefault="0052164D" w:rsidP="00BE3724">
      <w:pPr>
        <w:pStyle w:val="ListParagraph"/>
        <w:numPr>
          <w:ilvl w:val="0"/>
          <w:numId w:val="4"/>
        </w:numPr>
        <w:spacing w:after="0" w:line="288" w:lineRule="auto"/>
        <w:jc w:val="both"/>
        <w:rPr>
          <w:rFonts w:ascii="Verdana" w:hAnsi="Verdana"/>
          <w:color w:val="000000"/>
          <w:sz w:val="18"/>
          <w:szCs w:val="18"/>
          <w:lang w:val="en-GB"/>
        </w:rPr>
      </w:pPr>
      <w:r>
        <w:rPr>
          <w:rFonts w:ascii="Verdana" w:hAnsi="Verdana"/>
          <w:color w:val="000000"/>
          <w:sz w:val="18"/>
          <w:szCs w:val="18"/>
          <w:lang w:val="en-GB"/>
        </w:rPr>
        <w:t xml:space="preserve">Since HTT 2018 various fields as well as the amount of row and columns are blocked in order to guarantee the uniformity of the HTT architecture which enables running automated reporting programs. In order to guarantee this uniformity the Secretariat will not provide ‘unprotected’ HTTs to the issuers. </w:t>
      </w:r>
    </w:p>
    <w:p w14:paraId="25429E71" w14:textId="77777777" w:rsidR="00BE3724" w:rsidRDefault="00BE3724" w:rsidP="00BE3724">
      <w:pPr>
        <w:spacing w:after="0" w:line="288" w:lineRule="auto"/>
        <w:jc w:val="both"/>
        <w:rPr>
          <w:rFonts w:ascii="Verdana" w:hAnsi="Verdana"/>
          <w:color w:val="000000"/>
          <w:sz w:val="18"/>
          <w:szCs w:val="18"/>
          <w:lang w:val="en-GB"/>
        </w:rPr>
      </w:pPr>
    </w:p>
    <w:tbl>
      <w:tblPr>
        <w:tblStyle w:val="TableGrid"/>
        <w:tblW w:w="0" w:type="auto"/>
        <w:tblLook w:val="04A0" w:firstRow="1" w:lastRow="0" w:firstColumn="1" w:lastColumn="0" w:noHBand="0" w:noVBand="1"/>
      </w:tblPr>
      <w:tblGrid>
        <w:gridCol w:w="4596"/>
        <w:gridCol w:w="4420"/>
      </w:tblGrid>
      <w:tr w:rsidR="00BE3724" w:rsidRPr="00C31782" w14:paraId="2E2CA5F9" w14:textId="77777777" w:rsidTr="00E53FCD">
        <w:tc>
          <w:tcPr>
            <w:tcW w:w="9016" w:type="dxa"/>
            <w:gridSpan w:val="2"/>
          </w:tcPr>
          <w:p w14:paraId="07C51112" w14:textId="77777777" w:rsidR="00BE3724" w:rsidRPr="00BE3724" w:rsidRDefault="00BE3724" w:rsidP="00BE3724">
            <w:pPr>
              <w:spacing w:after="0" w:line="288" w:lineRule="auto"/>
              <w:jc w:val="center"/>
              <w:rPr>
                <w:rFonts w:ascii="Verdana" w:hAnsi="Verdana"/>
                <w:b/>
                <w:color w:val="000000"/>
                <w:sz w:val="18"/>
                <w:szCs w:val="18"/>
                <w:lang w:val="en-GB"/>
              </w:rPr>
            </w:pPr>
            <w:r w:rsidRPr="00BE3724">
              <w:rPr>
                <w:rFonts w:ascii="Verdana" w:hAnsi="Verdana"/>
                <w:b/>
                <w:color w:val="000000"/>
                <w:sz w:val="18"/>
                <w:szCs w:val="18"/>
                <w:lang w:val="en-GB"/>
              </w:rPr>
              <w:t>How to import an excel worksheet</w:t>
            </w:r>
          </w:p>
        </w:tc>
      </w:tr>
      <w:tr w:rsidR="00BE3724" w:rsidRPr="00C31782" w14:paraId="58A78725" w14:textId="77777777" w:rsidTr="00BE3724">
        <w:tc>
          <w:tcPr>
            <w:tcW w:w="4584" w:type="dxa"/>
          </w:tcPr>
          <w:p w14:paraId="01E81169" w14:textId="77777777" w:rsidR="00BE3724" w:rsidRPr="00BE3724" w:rsidRDefault="00BE3724" w:rsidP="00BE3724">
            <w:pPr>
              <w:pStyle w:val="ListParagraph"/>
              <w:numPr>
                <w:ilvl w:val="0"/>
                <w:numId w:val="6"/>
              </w:numPr>
              <w:spacing w:after="0" w:line="288" w:lineRule="auto"/>
              <w:jc w:val="both"/>
              <w:rPr>
                <w:rFonts w:ascii="Verdana" w:hAnsi="Verdana"/>
                <w:color w:val="000000"/>
                <w:sz w:val="18"/>
                <w:szCs w:val="18"/>
                <w:lang w:val="en-GB"/>
              </w:rPr>
            </w:pPr>
            <w:bookmarkStart w:id="4" w:name="_GoBack" w:colFirst="0" w:colLast="2"/>
            <w:r w:rsidRPr="00BE3724">
              <w:rPr>
                <w:rFonts w:ascii="Verdana" w:hAnsi="Verdana"/>
                <w:color w:val="000000"/>
                <w:sz w:val="18"/>
                <w:szCs w:val="18"/>
                <w:lang w:val="en-GB"/>
              </w:rPr>
              <w:t>Click on the tab of the worksheet you want to import</w:t>
            </w:r>
          </w:p>
          <w:p w14:paraId="3EF0955A" w14:textId="77777777" w:rsidR="00BE3724" w:rsidRPr="00BE3724" w:rsidRDefault="00BE3724" w:rsidP="00BE3724">
            <w:pPr>
              <w:pStyle w:val="ListParagraph"/>
              <w:numPr>
                <w:ilvl w:val="0"/>
                <w:numId w:val="6"/>
              </w:numPr>
              <w:spacing w:after="0" w:line="288" w:lineRule="auto"/>
              <w:jc w:val="both"/>
              <w:rPr>
                <w:rFonts w:ascii="Verdana" w:hAnsi="Verdana"/>
                <w:color w:val="000000"/>
                <w:sz w:val="18"/>
                <w:szCs w:val="18"/>
                <w:lang w:val="en-GB"/>
              </w:rPr>
            </w:pPr>
            <w:r w:rsidRPr="00BE3724">
              <w:rPr>
                <w:rFonts w:ascii="Verdana" w:hAnsi="Verdana"/>
                <w:color w:val="000000"/>
                <w:sz w:val="18"/>
                <w:szCs w:val="18"/>
                <w:lang w:val="en-GB"/>
              </w:rPr>
              <w:t>Select "Move or Copy"</w:t>
            </w:r>
          </w:p>
        </w:tc>
        <w:tc>
          <w:tcPr>
            <w:tcW w:w="4432" w:type="dxa"/>
          </w:tcPr>
          <w:p w14:paraId="2E9E7DFB" w14:textId="77777777" w:rsidR="00BE3724" w:rsidRPr="00BE3724" w:rsidRDefault="00BE3724" w:rsidP="00BE3724">
            <w:pPr>
              <w:spacing w:after="0" w:line="288" w:lineRule="auto"/>
              <w:ind w:left="360"/>
              <w:jc w:val="both"/>
              <w:rPr>
                <w:rFonts w:ascii="Verdana" w:hAnsi="Verdana"/>
                <w:color w:val="000000"/>
                <w:sz w:val="18"/>
                <w:szCs w:val="18"/>
                <w:lang w:val="en-GB"/>
              </w:rPr>
            </w:pPr>
            <w:r w:rsidRPr="00BE3724">
              <w:rPr>
                <w:rFonts w:ascii="Verdana" w:hAnsi="Verdana"/>
                <w:color w:val="000000"/>
                <w:sz w:val="18"/>
                <w:szCs w:val="18"/>
                <w:lang w:val="en-GB"/>
              </w:rPr>
              <w:t>3. Select the excel file where you want to transfer your worksheet from the dropdown menu</w:t>
            </w:r>
          </w:p>
          <w:p w14:paraId="1153E053" w14:textId="77777777" w:rsidR="00BE3724" w:rsidRPr="00BE3724" w:rsidRDefault="00BE3724" w:rsidP="00BE3724">
            <w:pPr>
              <w:spacing w:after="0" w:line="288" w:lineRule="auto"/>
              <w:ind w:left="360"/>
              <w:jc w:val="both"/>
              <w:rPr>
                <w:rFonts w:ascii="Verdana" w:hAnsi="Verdana"/>
                <w:color w:val="000000"/>
                <w:sz w:val="18"/>
                <w:szCs w:val="18"/>
                <w:lang w:val="en-GB"/>
              </w:rPr>
            </w:pPr>
            <w:r w:rsidRPr="00BE3724">
              <w:rPr>
                <w:rFonts w:ascii="Verdana" w:hAnsi="Verdana"/>
                <w:color w:val="000000"/>
                <w:sz w:val="18"/>
                <w:szCs w:val="18"/>
                <w:lang w:val="en-GB"/>
              </w:rPr>
              <w:t>4. In the box Before Sheet, please select "(move to end)"</w:t>
            </w:r>
          </w:p>
          <w:p w14:paraId="59D19755" w14:textId="77777777" w:rsidR="00BE3724" w:rsidRPr="00BE3724" w:rsidRDefault="00BE3724" w:rsidP="00BE3724">
            <w:pPr>
              <w:spacing w:after="0" w:line="288" w:lineRule="auto"/>
              <w:ind w:left="360"/>
              <w:jc w:val="both"/>
              <w:rPr>
                <w:rFonts w:ascii="Verdana" w:hAnsi="Verdana"/>
                <w:color w:val="000000"/>
                <w:sz w:val="18"/>
                <w:szCs w:val="18"/>
                <w:lang w:val="en-GB"/>
              </w:rPr>
            </w:pPr>
            <w:r w:rsidRPr="00BE3724">
              <w:rPr>
                <w:rFonts w:ascii="Verdana" w:hAnsi="Verdana"/>
                <w:color w:val="000000"/>
                <w:sz w:val="18"/>
                <w:szCs w:val="18"/>
                <w:lang w:val="en-GB"/>
              </w:rPr>
              <w:t>5. Do not forget to tick the "Create a copy" box and press ok</w:t>
            </w:r>
          </w:p>
        </w:tc>
      </w:tr>
      <w:bookmarkEnd w:id="4"/>
      <w:tr w:rsidR="00BE3724" w14:paraId="6C33CE2F" w14:textId="77777777" w:rsidTr="00BE3724">
        <w:tc>
          <w:tcPr>
            <w:tcW w:w="4584" w:type="dxa"/>
          </w:tcPr>
          <w:p w14:paraId="2DF88C88" w14:textId="77777777" w:rsidR="00BE3724" w:rsidRDefault="00BE3724" w:rsidP="00BE3724">
            <w:pPr>
              <w:spacing w:after="0" w:line="288" w:lineRule="auto"/>
              <w:jc w:val="both"/>
              <w:rPr>
                <w:rFonts w:ascii="Verdana" w:hAnsi="Verdana"/>
                <w:color w:val="000000"/>
                <w:sz w:val="18"/>
                <w:szCs w:val="18"/>
                <w:lang w:val="en-GB"/>
              </w:rPr>
            </w:pPr>
            <w:r>
              <w:rPr>
                <w:noProof/>
              </w:rPr>
              <w:lastRenderedPageBreak/>
              <w:drawing>
                <wp:inline distT="0" distB="0" distL="0" distR="0" wp14:anchorId="07E40CD8" wp14:editId="52CD767C">
                  <wp:extent cx="2773045" cy="2257425"/>
                  <wp:effectExtent l="0" t="0" r="8255" b="9525"/>
                  <wp:docPr id="2" name="Picture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rotWithShape="1">
                          <a:blip r:embed="rId8"/>
                          <a:srcRect l="-65" t="67570" r="71994" b="-401"/>
                          <a:stretch/>
                        </pic:blipFill>
                        <pic:spPr>
                          <a:xfrm>
                            <a:off x="0" y="0"/>
                            <a:ext cx="2773671" cy="2257935"/>
                          </a:xfrm>
                          <a:prstGeom prst="rect">
                            <a:avLst/>
                          </a:prstGeom>
                        </pic:spPr>
                      </pic:pic>
                    </a:graphicData>
                  </a:graphic>
                </wp:inline>
              </w:drawing>
            </w:r>
          </w:p>
        </w:tc>
        <w:tc>
          <w:tcPr>
            <w:tcW w:w="4432" w:type="dxa"/>
          </w:tcPr>
          <w:p w14:paraId="3333FB13" w14:textId="77777777" w:rsidR="00BE3724" w:rsidRDefault="00BE3724" w:rsidP="00BE3724">
            <w:pPr>
              <w:spacing w:after="0" w:line="288" w:lineRule="auto"/>
              <w:jc w:val="both"/>
              <w:rPr>
                <w:noProof/>
              </w:rPr>
            </w:pPr>
            <w:r>
              <w:rPr>
                <w:noProof/>
              </w:rPr>
              <w:drawing>
                <wp:inline distT="0" distB="0" distL="0" distR="0" wp14:anchorId="2F475FD8" wp14:editId="6034B16A">
                  <wp:extent cx="2553629" cy="2537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961" cy="2550707"/>
                          </a:xfrm>
                          <a:prstGeom prst="rect">
                            <a:avLst/>
                          </a:prstGeom>
                          <a:noFill/>
                        </pic:spPr>
                      </pic:pic>
                    </a:graphicData>
                  </a:graphic>
                </wp:inline>
              </w:drawing>
            </w:r>
          </w:p>
        </w:tc>
      </w:tr>
    </w:tbl>
    <w:p w14:paraId="1A79C974" w14:textId="77777777" w:rsidR="003F169A" w:rsidRPr="008C4FB6" w:rsidRDefault="003F169A" w:rsidP="007C20D2">
      <w:pPr>
        <w:pStyle w:val="Heading1"/>
        <w:rPr>
          <w:lang w:val="en-GB"/>
        </w:rPr>
      </w:pPr>
      <w:bookmarkStart w:id="5" w:name="_Toc5714047"/>
      <w:r w:rsidRPr="008C4FB6">
        <w:rPr>
          <w:lang w:val="en-GB"/>
        </w:rPr>
        <w:t>Uniform Encoding Format</w:t>
      </w:r>
      <w:bookmarkEnd w:id="5"/>
    </w:p>
    <w:p w14:paraId="4D321BAA" w14:textId="77777777" w:rsidR="00300F59" w:rsidRDefault="00300F59" w:rsidP="00300F59">
      <w:pPr>
        <w:spacing w:after="0" w:line="288" w:lineRule="auto"/>
        <w:jc w:val="both"/>
        <w:rPr>
          <w:rFonts w:ascii="Verdana" w:hAnsi="Verdana"/>
          <w:color w:val="000000"/>
          <w:sz w:val="18"/>
          <w:szCs w:val="18"/>
          <w:lang w:val="en-GB"/>
        </w:rPr>
      </w:pPr>
    </w:p>
    <w:p w14:paraId="165C2F43" w14:textId="77777777" w:rsidR="00300F59" w:rsidRDefault="00300F59" w:rsidP="00300F59">
      <w:pPr>
        <w:spacing w:after="0" w:line="288" w:lineRule="auto"/>
        <w:jc w:val="both"/>
        <w:rPr>
          <w:rFonts w:ascii="Verdana" w:hAnsi="Verdana"/>
          <w:color w:val="000000"/>
          <w:sz w:val="18"/>
          <w:szCs w:val="18"/>
          <w:lang w:val="en-GB"/>
        </w:rPr>
      </w:pPr>
      <w:r>
        <w:rPr>
          <w:rFonts w:ascii="Verdana" w:hAnsi="Verdana"/>
          <w:color w:val="000000"/>
          <w:sz w:val="18"/>
          <w:szCs w:val="18"/>
          <w:lang w:val="en-GB"/>
        </w:rPr>
        <w:t>Throughout the HTT we aim at having a uniform representation of the various figures according to the following scheme:</w:t>
      </w:r>
    </w:p>
    <w:p w14:paraId="698DE365" w14:textId="77777777" w:rsidR="00300F59" w:rsidRDefault="00300F59" w:rsidP="00300F59">
      <w:pPr>
        <w:spacing w:after="0" w:line="288" w:lineRule="auto"/>
        <w:jc w:val="both"/>
        <w:rPr>
          <w:rFonts w:ascii="Verdana" w:hAnsi="Verdana"/>
          <w:color w:val="000000"/>
          <w:sz w:val="18"/>
          <w:szCs w:val="18"/>
          <w:lang w:val="en-GB"/>
        </w:rPr>
      </w:pPr>
    </w:p>
    <w:p w14:paraId="03599387" w14:textId="77777777" w:rsidR="00300F59" w:rsidRDefault="00300F59" w:rsidP="00300F59">
      <w:pPr>
        <w:pStyle w:val="ListParagraph"/>
        <w:numPr>
          <w:ilvl w:val="0"/>
          <w:numId w:val="3"/>
        </w:numPr>
        <w:spacing w:after="0" w:line="288" w:lineRule="auto"/>
        <w:jc w:val="both"/>
        <w:rPr>
          <w:rFonts w:ascii="Verdana" w:hAnsi="Verdana"/>
          <w:color w:val="000000"/>
          <w:sz w:val="18"/>
          <w:szCs w:val="18"/>
          <w:lang w:val="en-GB"/>
        </w:rPr>
      </w:pPr>
      <w:r>
        <w:rPr>
          <w:rFonts w:ascii="Verdana" w:hAnsi="Verdana"/>
          <w:color w:val="000000"/>
          <w:sz w:val="18"/>
          <w:szCs w:val="18"/>
          <w:lang w:val="en-GB"/>
        </w:rPr>
        <w:t>Date: DD/MM/YYY</w:t>
      </w:r>
    </w:p>
    <w:p w14:paraId="1E7D62DC" w14:textId="77777777" w:rsidR="00300F59" w:rsidRDefault="00300F59" w:rsidP="00300F59">
      <w:pPr>
        <w:pStyle w:val="ListParagraph"/>
        <w:numPr>
          <w:ilvl w:val="0"/>
          <w:numId w:val="3"/>
        </w:numPr>
        <w:spacing w:after="0" w:line="288" w:lineRule="auto"/>
        <w:jc w:val="both"/>
        <w:rPr>
          <w:rFonts w:ascii="Verdana" w:hAnsi="Verdana"/>
          <w:color w:val="000000"/>
          <w:sz w:val="18"/>
          <w:szCs w:val="18"/>
          <w:lang w:val="en-GB"/>
        </w:rPr>
      </w:pPr>
      <w:r w:rsidRPr="00300F59">
        <w:rPr>
          <w:rFonts w:ascii="Verdana" w:hAnsi="Verdana"/>
          <w:color w:val="000000"/>
          <w:sz w:val="18"/>
          <w:szCs w:val="18"/>
          <w:lang w:val="en-GB"/>
        </w:rPr>
        <w:t>integer numbers</w:t>
      </w:r>
      <w:r>
        <w:rPr>
          <w:rFonts w:ascii="Verdana" w:hAnsi="Verdana"/>
          <w:color w:val="000000"/>
          <w:sz w:val="18"/>
          <w:szCs w:val="18"/>
          <w:lang w:val="en-GB"/>
        </w:rPr>
        <w:t xml:space="preserve"> (</w:t>
      </w:r>
      <w:proofErr w:type="spellStart"/>
      <w:r>
        <w:rPr>
          <w:rFonts w:ascii="Verdana" w:hAnsi="Verdana"/>
          <w:color w:val="000000"/>
          <w:sz w:val="18"/>
          <w:szCs w:val="18"/>
          <w:lang w:val="en-GB"/>
        </w:rPr>
        <w:t>eg.</w:t>
      </w:r>
      <w:proofErr w:type="spellEnd"/>
      <w:r>
        <w:rPr>
          <w:rFonts w:ascii="Verdana" w:hAnsi="Verdana"/>
          <w:color w:val="000000"/>
          <w:sz w:val="18"/>
          <w:szCs w:val="18"/>
          <w:lang w:val="en-GB"/>
        </w:rPr>
        <w:t xml:space="preserve"> Number of loans):</w:t>
      </w:r>
      <w:r w:rsidRPr="00300F59">
        <w:rPr>
          <w:rFonts w:ascii="Verdana" w:hAnsi="Verdana"/>
          <w:color w:val="000000"/>
          <w:sz w:val="18"/>
          <w:szCs w:val="18"/>
          <w:lang w:val="en-GB"/>
        </w:rPr>
        <w:t xml:space="preserve"> #,###</w:t>
      </w:r>
    </w:p>
    <w:p w14:paraId="4B4649F8" w14:textId="77777777" w:rsidR="00300F59" w:rsidRDefault="00300F59" w:rsidP="00300F59">
      <w:pPr>
        <w:pStyle w:val="ListParagraph"/>
        <w:numPr>
          <w:ilvl w:val="0"/>
          <w:numId w:val="3"/>
        </w:numPr>
        <w:spacing w:after="0" w:line="288" w:lineRule="auto"/>
        <w:jc w:val="both"/>
        <w:rPr>
          <w:rFonts w:ascii="Verdana" w:hAnsi="Verdana"/>
          <w:color w:val="000000"/>
          <w:sz w:val="18"/>
          <w:szCs w:val="18"/>
          <w:lang w:val="en-GB"/>
        </w:rPr>
      </w:pPr>
      <w:r w:rsidRPr="00300F59">
        <w:rPr>
          <w:rFonts w:ascii="Verdana" w:hAnsi="Verdana"/>
          <w:color w:val="000000"/>
          <w:sz w:val="18"/>
          <w:szCs w:val="18"/>
          <w:lang w:val="en-GB"/>
        </w:rPr>
        <w:t>volumes</w:t>
      </w:r>
      <w:r>
        <w:rPr>
          <w:rFonts w:ascii="Verdana" w:hAnsi="Verdana"/>
          <w:color w:val="000000"/>
          <w:sz w:val="18"/>
          <w:szCs w:val="18"/>
          <w:lang w:val="en-GB"/>
        </w:rPr>
        <w:t xml:space="preserve"> (</w:t>
      </w:r>
      <w:proofErr w:type="spellStart"/>
      <w:r>
        <w:rPr>
          <w:rFonts w:ascii="Verdana" w:hAnsi="Verdana"/>
          <w:color w:val="000000"/>
          <w:sz w:val="18"/>
          <w:szCs w:val="18"/>
          <w:lang w:val="en-GB"/>
        </w:rPr>
        <w:t>eg</w:t>
      </w:r>
      <w:proofErr w:type="spellEnd"/>
      <w:r>
        <w:rPr>
          <w:rFonts w:ascii="Verdana" w:hAnsi="Verdana"/>
          <w:color w:val="000000"/>
          <w:sz w:val="18"/>
          <w:szCs w:val="18"/>
          <w:lang w:val="en-GB"/>
        </w:rPr>
        <w:t>: covered bond outstanding):</w:t>
      </w:r>
      <w:r w:rsidRPr="00300F59">
        <w:rPr>
          <w:rFonts w:ascii="Verdana" w:hAnsi="Verdana"/>
          <w:color w:val="000000"/>
          <w:sz w:val="18"/>
          <w:szCs w:val="18"/>
          <w:lang w:val="en-GB"/>
        </w:rPr>
        <w:t xml:space="preserve"> #,###.#</w:t>
      </w:r>
    </w:p>
    <w:p w14:paraId="629083D6" w14:textId="77777777" w:rsidR="00300F59" w:rsidRDefault="00300F59" w:rsidP="00300F59">
      <w:pPr>
        <w:pStyle w:val="ListParagraph"/>
        <w:numPr>
          <w:ilvl w:val="0"/>
          <w:numId w:val="3"/>
        </w:numPr>
        <w:spacing w:after="0" w:line="288" w:lineRule="auto"/>
        <w:jc w:val="both"/>
        <w:rPr>
          <w:rFonts w:ascii="Verdana" w:hAnsi="Verdana"/>
          <w:color w:val="000000"/>
          <w:sz w:val="18"/>
          <w:szCs w:val="18"/>
          <w:lang w:val="en-GB"/>
        </w:rPr>
      </w:pPr>
      <w:r w:rsidRPr="00300F59">
        <w:rPr>
          <w:rFonts w:ascii="Verdana" w:hAnsi="Verdana"/>
          <w:color w:val="000000"/>
          <w:sz w:val="18"/>
          <w:szCs w:val="18"/>
          <w:lang w:val="en-GB"/>
        </w:rPr>
        <w:t>percentage</w:t>
      </w:r>
      <w:r>
        <w:rPr>
          <w:rFonts w:ascii="Verdana" w:hAnsi="Verdana"/>
          <w:color w:val="000000"/>
          <w:sz w:val="18"/>
          <w:szCs w:val="18"/>
          <w:lang w:val="en-GB"/>
        </w:rPr>
        <w:t xml:space="preserve"> (</w:t>
      </w:r>
      <w:proofErr w:type="spellStart"/>
      <w:r>
        <w:rPr>
          <w:rFonts w:ascii="Verdana" w:hAnsi="Verdana"/>
          <w:color w:val="000000"/>
          <w:sz w:val="18"/>
          <w:szCs w:val="18"/>
          <w:lang w:val="en-GB"/>
        </w:rPr>
        <w:t>eg.</w:t>
      </w:r>
      <w:proofErr w:type="spellEnd"/>
      <w:r>
        <w:rPr>
          <w:rFonts w:ascii="Verdana" w:hAnsi="Verdana"/>
          <w:color w:val="000000"/>
          <w:sz w:val="18"/>
          <w:szCs w:val="18"/>
          <w:lang w:val="en-GB"/>
        </w:rPr>
        <w:t xml:space="preserve"> OC level)</w:t>
      </w:r>
      <w:r w:rsidRPr="00300F59">
        <w:rPr>
          <w:rFonts w:ascii="Verdana" w:hAnsi="Verdana"/>
          <w:color w:val="000000"/>
          <w:sz w:val="18"/>
          <w:szCs w:val="18"/>
          <w:lang w:val="en-GB"/>
        </w:rPr>
        <w:t xml:space="preserve"> #.#%</w:t>
      </w:r>
    </w:p>
    <w:p w14:paraId="5D1E934A" w14:textId="77777777" w:rsidR="00300F59" w:rsidRDefault="00300F59" w:rsidP="00300F59">
      <w:pPr>
        <w:pStyle w:val="ListParagraph"/>
        <w:numPr>
          <w:ilvl w:val="0"/>
          <w:numId w:val="3"/>
        </w:numPr>
        <w:spacing w:after="0" w:line="288" w:lineRule="auto"/>
        <w:jc w:val="both"/>
        <w:rPr>
          <w:rFonts w:ascii="Verdana" w:hAnsi="Verdana"/>
          <w:color w:val="000000"/>
          <w:sz w:val="18"/>
          <w:szCs w:val="18"/>
          <w:lang w:val="en-GB"/>
        </w:rPr>
      </w:pPr>
      <w:r w:rsidRPr="00300F59">
        <w:rPr>
          <w:rFonts w:ascii="Verdana" w:hAnsi="Verdana"/>
          <w:color w:val="000000"/>
          <w:sz w:val="18"/>
          <w:szCs w:val="18"/>
          <w:lang w:val="en-GB"/>
        </w:rPr>
        <w:t xml:space="preserve">years </w:t>
      </w:r>
      <w:r>
        <w:rPr>
          <w:rFonts w:ascii="Verdana" w:hAnsi="Verdana"/>
          <w:color w:val="000000"/>
          <w:sz w:val="18"/>
          <w:szCs w:val="18"/>
          <w:lang w:val="en-GB"/>
        </w:rPr>
        <w:t>(</w:t>
      </w:r>
      <w:proofErr w:type="spellStart"/>
      <w:r>
        <w:rPr>
          <w:rFonts w:ascii="Verdana" w:hAnsi="Verdana"/>
          <w:color w:val="000000"/>
          <w:sz w:val="18"/>
          <w:szCs w:val="18"/>
          <w:lang w:val="en-GB"/>
        </w:rPr>
        <w:t>eg.</w:t>
      </w:r>
      <w:proofErr w:type="spellEnd"/>
      <w:r>
        <w:rPr>
          <w:rFonts w:ascii="Verdana" w:hAnsi="Verdana"/>
          <w:color w:val="000000"/>
          <w:sz w:val="18"/>
          <w:szCs w:val="18"/>
          <w:lang w:val="en-GB"/>
        </w:rPr>
        <w:t xml:space="preserve"> Average maturity of covered bonds) </w:t>
      </w:r>
      <w:r w:rsidRPr="00300F59">
        <w:rPr>
          <w:rFonts w:ascii="Verdana" w:hAnsi="Verdana"/>
          <w:color w:val="000000"/>
          <w:sz w:val="18"/>
          <w:szCs w:val="18"/>
          <w:lang w:val="en-GB"/>
        </w:rPr>
        <w:t>##.#</w:t>
      </w:r>
    </w:p>
    <w:p w14:paraId="790562F5" w14:textId="77777777" w:rsidR="00300F59" w:rsidRDefault="00300F59" w:rsidP="00300F59">
      <w:pPr>
        <w:spacing w:after="0" w:line="288" w:lineRule="auto"/>
        <w:ind w:left="360"/>
        <w:jc w:val="both"/>
        <w:rPr>
          <w:rFonts w:ascii="Verdana" w:hAnsi="Verdana"/>
          <w:color w:val="000000"/>
          <w:sz w:val="18"/>
          <w:szCs w:val="18"/>
          <w:lang w:val="en-GB"/>
        </w:rPr>
      </w:pPr>
    </w:p>
    <w:p w14:paraId="5EB2527A" w14:textId="77777777" w:rsidR="00300F59" w:rsidRDefault="007C20D2" w:rsidP="007C20D2">
      <w:pPr>
        <w:pStyle w:val="Heading1"/>
        <w:rPr>
          <w:lang w:val="en-GB"/>
        </w:rPr>
      </w:pPr>
      <w:bookmarkStart w:id="6" w:name="_Toc5714048"/>
      <w:r>
        <w:rPr>
          <w:lang w:val="en-GB"/>
        </w:rPr>
        <w:t>Tab Specific Guidelines</w:t>
      </w:r>
      <w:bookmarkEnd w:id="6"/>
    </w:p>
    <w:p w14:paraId="7A130DB9" w14:textId="61D95CC9" w:rsidR="007C20D2" w:rsidRDefault="00F5347A" w:rsidP="007C20D2">
      <w:pPr>
        <w:spacing w:after="0" w:line="288" w:lineRule="auto"/>
        <w:jc w:val="both"/>
        <w:rPr>
          <w:rFonts w:ascii="Verdana" w:hAnsi="Verdana"/>
          <w:color w:val="000000"/>
          <w:sz w:val="18"/>
          <w:szCs w:val="18"/>
          <w:lang w:val="en-GB"/>
        </w:rPr>
      </w:pPr>
      <w:r>
        <w:rPr>
          <w:rFonts w:ascii="Verdana" w:hAnsi="Verdana"/>
          <w:color w:val="000000"/>
          <w:sz w:val="18"/>
          <w:szCs w:val="18"/>
          <w:lang w:val="en-GB"/>
        </w:rPr>
        <w:t xml:space="preserve">Here you find guidelines for specific locations in the different tabs of the HTT in order to prevent providing misleading information. </w:t>
      </w:r>
    </w:p>
    <w:p w14:paraId="480278A1" w14:textId="77777777" w:rsidR="007C20D2" w:rsidRDefault="007C20D2" w:rsidP="007C20D2">
      <w:pPr>
        <w:pStyle w:val="Heading2"/>
        <w:rPr>
          <w:lang w:val="en-GB"/>
        </w:rPr>
      </w:pPr>
      <w:bookmarkStart w:id="7" w:name="_Toc5714049"/>
      <w:r>
        <w:rPr>
          <w:lang w:val="en-GB"/>
        </w:rPr>
        <w:t>Introduction</w:t>
      </w:r>
      <w:bookmarkEnd w:id="7"/>
    </w:p>
    <w:p w14:paraId="21DA8D3C" w14:textId="77777777" w:rsidR="007C20D2" w:rsidRDefault="007C20D2" w:rsidP="007C20D2">
      <w:pPr>
        <w:pStyle w:val="ListParagraph"/>
        <w:numPr>
          <w:ilvl w:val="0"/>
          <w:numId w:val="9"/>
        </w:numPr>
        <w:rPr>
          <w:lang w:val="en-GB"/>
        </w:rPr>
      </w:pPr>
      <w:r>
        <w:rPr>
          <w:lang w:val="en-GB"/>
        </w:rPr>
        <w:t xml:space="preserve">Reporting Date: date in which the HTT has been published </w:t>
      </w:r>
    </w:p>
    <w:p w14:paraId="5868FAFB" w14:textId="238B7C8E" w:rsidR="007C20D2" w:rsidRDefault="007C20D2" w:rsidP="007C20D2">
      <w:pPr>
        <w:pStyle w:val="ListParagraph"/>
        <w:numPr>
          <w:ilvl w:val="0"/>
          <w:numId w:val="9"/>
        </w:numPr>
        <w:rPr>
          <w:lang w:val="en-GB"/>
        </w:rPr>
      </w:pPr>
      <w:r>
        <w:rPr>
          <w:lang w:val="en-GB"/>
        </w:rPr>
        <w:t>Cut-off Date: date the figures refer to</w:t>
      </w:r>
      <w:r w:rsidR="00F5347A">
        <w:rPr>
          <w:lang w:val="en-GB"/>
        </w:rPr>
        <w:t>. The last date of a quarter needs to be the last calendar day. For example Friday 29 March 2019 was the last working day of Q1 2019, but here we would like to see as cut-off date 31 March 2019 even if it falls on a Sunday.</w:t>
      </w:r>
    </w:p>
    <w:p w14:paraId="4E715443" w14:textId="77777777" w:rsidR="007C20D2" w:rsidRDefault="007C20D2" w:rsidP="007C20D2">
      <w:pPr>
        <w:pStyle w:val="Heading2"/>
        <w:numPr>
          <w:ilvl w:val="0"/>
          <w:numId w:val="10"/>
        </w:numPr>
        <w:rPr>
          <w:lang w:val="en-GB"/>
        </w:rPr>
      </w:pPr>
      <w:bookmarkStart w:id="8" w:name="_Toc5714050"/>
      <w:r>
        <w:rPr>
          <w:lang w:val="en-GB"/>
        </w:rPr>
        <w:t>HTT General</w:t>
      </w:r>
      <w:bookmarkEnd w:id="8"/>
    </w:p>
    <w:p w14:paraId="6CBA6973" w14:textId="77777777" w:rsidR="00126808" w:rsidRPr="00126808" w:rsidRDefault="00126808" w:rsidP="00126808">
      <w:pPr>
        <w:rPr>
          <w:lang w:val="en-GB"/>
        </w:rPr>
      </w:pPr>
      <w:r>
        <w:rPr>
          <w:lang w:val="en-GB"/>
        </w:rPr>
        <w:t>Here below are reported the locations of Tab A. HTT General for which the Secretariat would like to provide further guidance</w:t>
      </w:r>
      <w:r w:rsidR="00027E23">
        <w:rPr>
          <w:lang w:val="en-GB"/>
        </w:rPr>
        <w:t>:</w:t>
      </w:r>
    </w:p>
    <w:p w14:paraId="466C5C2F" w14:textId="0D19C8FE" w:rsidR="007C20D2" w:rsidRDefault="00126808" w:rsidP="00126808">
      <w:pPr>
        <w:pStyle w:val="Heading3"/>
        <w:rPr>
          <w:lang w:val="en-GB"/>
        </w:rPr>
      </w:pPr>
      <w:bookmarkStart w:id="9" w:name="_Toc5714051"/>
      <w:r>
        <w:rPr>
          <w:lang w:val="en-GB"/>
        </w:rPr>
        <w:t>3.2 Over-collateralisation (OC)</w:t>
      </w:r>
      <w:bookmarkEnd w:id="9"/>
      <w:r w:rsidR="00F5347A">
        <w:rPr>
          <w:lang w:val="en-GB"/>
        </w:rPr>
        <w:t xml:space="preserve"> </w:t>
      </w:r>
    </w:p>
    <w:p w14:paraId="46195735" w14:textId="77777777" w:rsidR="00126808" w:rsidRDefault="00126808" w:rsidP="00126808">
      <w:pPr>
        <w:pStyle w:val="ListParagraph"/>
        <w:numPr>
          <w:ilvl w:val="0"/>
          <w:numId w:val="11"/>
        </w:numPr>
        <w:rPr>
          <w:lang w:val="en-GB"/>
        </w:rPr>
      </w:pPr>
      <w:r w:rsidRPr="00126808">
        <w:rPr>
          <w:lang w:val="en-GB"/>
        </w:rPr>
        <w:t>Legal/Regulatory – the minimal OC level prescribed by national law</w:t>
      </w:r>
    </w:p>
    <w:p w14:paraId="3C055AE3" w14:textId="15C85F70" w:rsidR="00D3097D" w:rsidRDefault="00126808" w:rsidP="00D3097D">
      <w:pPr>
        <w:pStyle w:val="ListParagraph"/>
        <w:numPr>
          <w:ilvl w:val="0"/>
          <w:numId w:val="11"/>
        </w:numPr>
        <w:rPr>
          <w:lang w:val="en-GB"/>
        </w:rPr>
      </w:pPr>
      <w:r>
        <w:rPr>
          <w:lang w:val="en-GB"/>
        </w:rPr>
        <w:t>Minimum committed – the minimal OC level the issuer is committed to keep (if there is no committed value, please insert here the legal/regulatory OC</w:t>
      </w:r>
    </w:p>
    <w:p w14:paraId="44C467A3" w14:textId="6FD0E2F7" w:rsidR="00D3097D" w:rsidRDefault="00D3097D" w:rsidP="00D3097D">
      <w:pPr>
        <w:pStyle w:val="Heading3"/>
        <w:numPr>
          <w:ilvl w:val="1"/>
          <w:numId w:val="18"/>
        </w:numPr>
        <w:rPr>
          <w:lang w:val="en-GB"/>
        </w:rPr>
      </w:pPr>
      <w:r>
        <w:rPr>
          <w:lang w:val="en-GB"/>
        </w:rPr>
        <w:lastRenderedPageBreak/>
        <w:t>Cover Pool Composition</w:t>
      </w:r>
    </w:p>
    <w:p w14:paraId="5843CAAB" w14:textId="2CD21991" w:rsidR="00D3097D" w:rsidRDefault="00D3097D" w:rsidP="00D3097D">
      <w:pPr>
        <w:rPr>
          <w:lang w:val="en-GB"/>
        </w:rPr>
      </w:pPr>
      <w:r>
        <w:rPr>
          <w:lang w:val="en-GB"/>
        </w:rPr>
        <w:t>The Sum which figures under line G.3.3.6 needs to be equal to the Total Cover Assets as presented in line G.3.1.1</w:t>
      </w:r>
    </w:p>
    <w:p w14:paraId="3022956B" w14:textId="006601BF" w:rsidR="00141A92" w:rsidRPr="00141A92" w:rsidRDefault="00D3097D" w:rsidP="00141A92">
      <w:pPr>
        <w:pStyle w:val="Heading3"/>
        <w:rPr>
          <w:lang w:val="en-GB"/>
        </w:rPr>
      </w:pPr>
      <w:bookmarkStart w:id="10" w:name="_Toc5714052"/>
      <w:r>
        <w:rPr>
          <w:lang w:val="en-GB"/>
        </w:rPr>
        <w:t>3.</w:t>
      </w:r>
      <w:r w:rsidR="00141A92">
        <w:rPr>
          <w:lang w:val="en-GB"/>
        </w:rPr>
        <w:t>6. Covered Assets - Currency</w:t>
      </w:r>
      <w:bookmarkEnd w:id="10"/>
    </w:p>
    <w:p w14:paraId="39CAF134" w14:textId="77777777" w:rsidR="00126808" w:rsidRDefault="00141A92" w:rsidP="00126808">
      <w:pPr>
        <w:rPr>
          <w:lang w:val="en-GB"/>
        </w:rPr>
      </w:pPr>
      <w:r>
        <w:rPr>
          <w:lang w:val="en-GB"/>
        </w:rPr>
        <w:t>The columns C and D “Nominal [before hedging] (</w:t>
      </w:r>
      <w:proofErr w:type="spellStart"/>
      <w:r>
        <w:rPr>
          <w:lang w:val="en-GB"/>
        </w:rPr>
        <w:t>mn</w:t>
      </w:r>
      <w:proofErr w:type="spellEnd"/>
      <w:r>
        <w:rPr>
          <w:lang w:val="en-GB"/>
        </w:rPr>
        <w:t>)” and “Nominal [after hedging] (</w:t>
      </w:r>
      <w:proofErr w:type="spellStart"/>
      <w:r>
        <w:rPr>
          <w:lang w:val="en-GB"/>
        </w:rPr>
        <w:t>mn</w:t>
      </w:r>
      <w:proofErr w:type="spellEnd"/>
      <w:r>
        <w:rPr>
          <w:lang w:val="en-GB"/>
        </w:rPr>
        <w:t>)” should be completed as follows:</w:t>
      </w:r>
    </w:p>
    <w:p w14:paraId="39942EBC" w14:textId="77777777" w:rsidR="00141A92" w:rsidRDefault="00141A92" w:rsidP="00141A92">
      <w:pPr>
        <w:pStyle w:val="ListParagraph"/>
        <w:numPr>
          <w:ilvl w:val="0"/>
          <w:numId w:val="12"/>
        </w:numPr>
        <w:rPr>
          <w:lang w:val="en-GB"/>
        </w:rPr>
      </w:pPr>
      <w:r>
        <w:rPr>
          <w:lang w:val="en-GB"/>
        </w:rPr>
        <w:t>The nominal value for both columns is always expressed in the Domestic currency stated in cell C3 of this worksheet</w:t>
      </w:r>
    </w:p>
    <w:p w14:paraId="3F88713A" w14:textId="77777777" w:rsidR="009E0CF0" w:rsidRDefault="00141A92" w:rsidP="009E0CF0">
      <w:pPr>
        <w:pStyle w:val="ListParagraph"/>
        <w:numPr>
          <w:ilvl w:val="0"/>
          <w:numId w:val="12"/>
        </w:numPr>
        <w:jc w:val="both"/>
        <w:rPr>
          <w:lang w:val="en-GB"/>
        </w:rPr>
      </w:pPr>
      <w:r>
        <w:rPr>
          <w:lang w:val="en-GB"/>
        </w:rPr>
        <w:t>The sum of the Total which is calculated in cells C129 and D129</w:t>
      </w:r>
      <w:r w:rsidR="00391B96">
        <w:rPr>
          <w:lang w:val="en-GB"/>
        </w:rPr>
        <w:t xml:space="preserve"> do not necessarily be the same as the exchange rates for hedging purposes and for reporting purposes may differ. It is important that</w:t>
      </w:r>
      <w:r>
        <w:rPr>
          <w:lang w:val="en-GB"/>
        </w:rPr>
        <w:t xml:space="preserve"> </w:t>
      </w:r>
      <w:r w:rsidR="00391B96">
        <w:rPr>
          <w:lang w:val="en-GB"/>
        </w:rPr>
        <w:t xml:space="preserve">the </w:t>
      </w:r>
      <w:r w:rsidR="009E0CF0">
        <w:rPr>
          <w:lang w:val="en-GB"/>
        </w:rPr>
        <w:t xml:space="preserve">nominal after hedging value is equal to the total cover assets (row G.3.1.1).  </w:t>
      </w:r>
      <w:r>
        <w:rPr>
          <w:lang w:val="en-GB"/>
        </w:rPr>
        <w:t xml:space="preserve">need to be the same. </w:t>
      </w:r>
    </w:p>
    <w:p w14:paraId="04D1A9C8" w14:textId="6A879AC8" w:rsidR="00141A92" w:rsidRPr="009E0CF0" w:rsidRDefault="009E0CF0" w:rsidP="00C31782">
      <w:pPr>
        <w:ind w:left="360"/>
        <w:jc w:val="both"/>
        <w:rPr>
          <w:lang w:val="en-GB"/>
        </w:rPr>
      </w:pPr>
      <w:r>
        <w:rPr>
          <w:lang w:val="en-GB"/>
        </w:rPr>
        <w:t xml:space="preserve">Moreover, hedged assets should not disappear from the after hedging column. </w:t>
      </w:r>
      <w:r w:rsidR="00141A92" w:rsidRPr="009E0CF0">
        <w:rPr>
          <w:lang w:val="en-GB"/>
        </w:rPr>
        <w:t>The currency which is hedged against will have a higher value in column D with respect to column C in the same proportion of the decrease of the currency/</w:t>
      </w:r>
      <w:proofErr w:type="spellStart"/>
      <w:r w:rsidR="00141A92" w:rsidRPr="009E0CF0">
        <w:rPr>
          <w:lang w:val="en-GB"/>
        </w:rPr>
        <w:t>ies</w:t>
      </w:r>
      <w:proofErr w:type="spellEnd"/>
      <w:r w:rsidR="00141A92" w:rsidRPr="009E0CF0">
        <w:rPr>
          <w:lang w:val="en-GB"/>
        </w:rPr>
        <w:t xml:space="preserve"> which was/were hedged. In the box below please find an example:</w:t>
      </w:r>
    </w:p>
    <w:p w14:paraId="7A6B1C11" w14:textId="036B96A7" w:rsidR="00141A92" w:rsidRDefault="009E0CF0" w:rsidP="00B547E5">
      <w:pPr>
        <w:pStyle w:val="ListParagraph"/>
        <w:jc w:val="both"/>
        <w:rPr>
          <w:lang w:val="en-GB"/>
        </w:rPr>
      </w:pPr>
      <w:r>
        <w:rPr>
          <w:noProof/>
        </w:rPr>
        <w:drawing>
          <wp:anchor distT="0" distB="0" distL="114300" distR="114300" simplePos="0" relativeHeight="251658240" behindDoc="1" locked="0" layoutInCell="1" allowOverlap="1" wp14:anchorId="60872871" wp14:editId="655886F4">
            <wp:simplePos x="0" y="0"/>
            <wp:positionH relativeFrom="margin">
              <wp:posOffset>266700</wp:posOffset>
            </wp:positionH>
            <wp:positionV relativeFrom="paragraph">
              <wp:posOffset>916940</wp:posOffset>
            </wp:positionV>
            <wp:extent cx="5651500" cy="1962785"/>
            <wp:effectExtent l="0" t="0" r="6350" b="0"/>
            <wp:wrapTight wrapText="bothSides">
              <wp:wrapPolygon edited="0">
                <wp:start x="0" y="0"/>
                <wp:lineTo x="0" y="21383"/>
                <wp:lineTo x="21551" y="21383"/>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51500" cy="1962785"/>
                    </a:xfrm>
                    <a:prstGeom prst="rect">
                      <a:avLst/>
                    </a:prstGeom>
                  </pic:spPr>
                </pic:pic>
              </a:graphicData>
            </a:graphic>
            <wp14:sizeRelH relativeFrom="margin">
              <wp14:pctWidth>0</wp14:pctWidth>
            </wp14:sizeRelH>
            <wp14:sizeRelV relativeFrom="margin">
              <wp14:pctHeight>0</wp14:pctHeight>
            </wp14:sizeRelV>
          </wp:anchor>
        </w:drawing>
      </w:r>
      <w:r w:rsidR="00141A92">
        <w:rPr>
          <w:lang w:val="en-GB"/>
        </w:rPr>
        <w:t>In this hypothetical case</w:t>
      </w:r>
      <w:r w:rsidR="002E1296">
        <w:rPr>
          <w:lang w:val="en-GB"/>
        </w:rPr>
        <w:t xml:space="preserve"> a Euro-based issuer</w:t>
      </w:r>
      <w:r w:rsidR="00B547E5">
        <w:rPr>
          <w:lang w:val="en-GB"/>
        </w:rPr>
        <w:t xml:space="preserve"> (domestic currency reporting in EUR</w:t>
      </w:r>
      <w:r>
        <w:rPr>
          <w:lang w:val="en-GB"/>
        </w:rPr>
        <w:t>, assuming that reporting and hedging exchange rates are the same</w:t>
      </w:r>
      <w:r w:rsidR="00B547E5">
        <w:rPr>
          <w:lang w:val="en-GB"/>
        </w:rPr>
        <w:t xml:space="preserve">) </w:t>
      </w:r>
      <w:r w:rsidR="002E1296">
        <w:rPr>
          <w:lang w:val="en-GB"/>
        </w:rPr>
        <w:t xml:space="preserve"> has covered assets in the Eurozone, Denmark, Norway and the UK. After hedging all the non-Euro assets against the Euro in the after hedging scenario there will be only outstanding in Euro. </w:t>
      </w:r>
    </w:p>
    <w:p w14:paraId="7A20C423" w14:textId="53E7EC93" w:rsidR="002E1296" w:rsidRDefault="002E1296" w:rsidP="00141A92">
      <w:pPr>
        <w:pStyle w:val="ListParagraph"/>
        <w:rPr>
          <w:lang w:val="en-GB"/>
        </w:rPr>
      </w:pPr>
    </w:p>
    <w:p w14:paraId="56117E9B" w14:textId="1D2773DF" w:rsidR="002E1296" w:rsidRDefault="002E1296" w:rsidP="00141A92">
      <w:pPr>
        <w:pStyle w:val="ListParagraph"/>
        <w:rPr>
          <w:highlight w:val="yellow"/>
          <w:lang w:val="en-GB"/>
        </w:rPr>
      </w:pPr>
      <w:r w:rsidRPr="002E1296">
        <w:rPr>
          <w:b/>
          <w:lang w:val="en-GB"/>
        </w:rPr>
        <w:t>NB:</w:t>
      </w:r>
      <w:r>
        <w:rPr>
          <w:lang w:val="en-GB"/>
        </w:rPr>
        <w:t xml:space="preserve"> the values before hedging are all expressed in </w:t>
      </w:r>
      <w:r w:rsidR="00C374B9">
        <w:rPr>
          <w:lang w:val="en-GB"/>
        </w:rPr>
        <w:t>the reporting currency reported in Cell C3 of tab A. HTT General and in the tabs B1-B3</w:t>
      </w:r>
      <w:r>
        <w:rPr>
          <w:lang w:val="en-GB"/>
        </w:rPr>
        <w:t>. The issuer is doing the calculation using the Exchange Rat</w:t>
      </w:r>
      <w:r w:rsidR="00C374B9">
        <w:rPr>
          <w:lang w:val="en-GB"/>
        </w:rPr>
        <w:t xml:space="preserve">e. </w:t>
      </w:r>
    </w:p>
    <w:p w14:paraId="529FAD33" w14:textId="78560CC9" w:rsidR="002E1296" w:rsidRDefault="00D3097D" w:rsidP="002E1296">
      <w:pPr>
        <w:pStyle w:val="Heading3"/>
        <w:rPr>
          <w:lang w:val="en-GB"/>
        </w:rPr>
      </w:pPr>
      <w:bookmarkStart w:id="11" w:name="_Toc5714053"/>
      <w:r>
        <w:rPr>
          <w:lang w:val="en-GB"/>
        </w:rPr>
        <w:t>3.</w:t>
      </w:r>
      <w:r w:rsidR="002E1296">
        <w:rPr>
          <w:lang w:val="en-GB"/>
        </w:rPr>
        <w:t>7. Covered Bonds – Currency</w:t>
      </w:r>
      <w:bookmarkEnd w:id="11"/>
    </w:p>
    <w:p w14:paraId="52C45BDC" w14:textId="77777777" w:rsidR="002E1296" w:rsidRDefault="002E1296" w:rsidP="002E1296">
      <w:pPr>
        <w:rPr>
          <w:lang w:val="en-GB"/>
        </w:rPr>
      </w:pPr>
      <w:r>
        <w:rPr>
          <w:lang w:val="en-GB"/>
        </w:rPr>
        <w:t xml:space="preserve">Same approach as explained for section 6. Cover Assets </w:t>
      </w:r>
      <w:r w:rsidR="00322579">
        <w:rPr>
          <w:lang w:val="en-GB"/>
        </w:rPr>
        <w:t>–</w:t>
      </w:r>
      <w:r>
        <w:rPr>
          <w:lang w:val="en-GB"/>
        </w:rPr>
        <w:t xml:space="preserve"> Currency</w:t>
      </w:r>
      <w:r w:rsidR="00322579">
        <w:rPr>
          <w:lang w:val="en-GB"/>
        </w:rPr>
        <w:t xml:space="preserve"> </w:t>
      </w:r>
    </w:p>
    <w:p w14:paraId="5204FB0F" w14:textId="540D6AC0" w:rsidR="00322579" w:rsidRDefault="00D3097D" w:rsidP="00322579">
      <w:pPr>
        <w:pStyle w:val="Heading3"/>
        <w:rPr>
          <w:lang w:val="en-GB"/>
        </w:rPr>
      </w:pPr>
      <w:bookmarkStart w:id="12" w:name="_Toc5714054"/>
      <w:r>
        <w:rPr>
          <w:lang w:val="en-GB"/>
        </w:rPr>
        <w:lastRenderedPageBreak/>
        <w:t>3.</w:t>
      </w:r>
      <w:r w:rsidR="00322579">
        <w:rPr>
          <w:lang w:val="en-GB"/>
        </w:rPr>
        <w:t>8. Covered Bonds – Breakdown by interest rate</w:t>
      </w:r>
      <w:bookmarkEnd w:id="12"/>
    </w:p>
    <w:p w14:paraId="08A12C9B" w14:textId="239AC489" w:rsidR="00322579" w:rsidRDefault="00322579" w:rsidP="002E1296">
      <w:pPr>
        <w:rPr>
          <w:lang w:val="en-GB"/>
        </w:rPr>
      </w:pPr>
      <w:r>
        <w:rPr>
          <w:lang w:val="en-GB"/>
        </w:rPr>
        <w:t xml:space="preserve">Same approach as explained for section 6. Cover Assets – Currency </w:t>
      </w:r>
    </w:p>
    <w:p w14:paraId="03729025" w14:textId="5D107CC8" w:rsidR="00D3097D" w:rsidRDefault="00D3097D" w:rsidP="002E1296">
      <w:pPr>
        <w:rPr>
          <w:lang w:val="en-GB"/>
        </w:rPr>
      </w:pPr>
    </w:p>
    <w:p w14:paraId="5C8FFE57" w14:textId="0CB39935" w:rsidR="00D3097D" w:rsidRDefault="00D3097D" w:rsidP="002E1296">
      <w:pPr>
        <w:rPr>
          <w:lang w:val="en-GB"/>
        </w:rPr>
      </w:pPr>
    </w:p>
    <w:p w14:paraId="610947D1" w14:textId="77777777" w:rsidR="00D3097D" w:rsidRPr="002E1296" w:rsidRDefault="00D3097D" w:rsidP="002E1296">
      <w:pPr>
        <w:rPr>
          <w:lang w:val="en-GB"/>
        </w:rPr>
      </w:pPr>
    </w:p>
    <w:p w14:paraId="2A38EE95" w14:textId="77777777" w:rsidR="00141A92" w:rsidRDefault="00322579" w:rsidP="00322579">
      <w:pPr>
        <w:pStyle w:val="Heading2"/>
        <w:rPr>
          <w:lang w:val="en-GB"/>
        </w:rPr>
      </w:pPr>
      <w:bookmarkStart w:id="13" w:name="_Toc5714055"/>
      <w:r>
        <w:rPr>
          <w:lang w:val="en-GB"/>
        </w:rPr>
        <w:t>B1. HTT Mortgage Assets</w:t>
      </w:r>
      <w:bookmarkEnd w:id="13"/>
    </w:p>
    <w:p w14:paraId="65258D6A" w14:textId="77777777" w:rsidR="00445FFF" w:rsidRDefault="00445FFF" w:rsidP="00126808">
      <w:pPr>
        <w:rPr>
          <w:lang w:val="en-GB"/>
        </w:rPr>
      </w:pPr>
    </w:p>
    <w:p w14:paraId="6CAEF9B1" w14:textId="18859C4B" w:rsidR="00322579" w:rsidRDefault="00D3097D" w:rsidP="00445FFF">
      <w:pPr>
        <w:pStyle w:val="Heading3"/>
        <w:rPr>
          <w:lang w:val="en-GB"/>
        </w:rPr>
      </w:pPr>
      <w:bookmarkStart w:id="14" w:name="_Toc5714056"/>
      <w:r>
        <w:rPr>
          <w:lang w:val="en-GB"/>
        </w:rPr>
        <w:t>7.</w:t>
      </w:r>
      <w:r w:rsidR="00322579">
        <w:rPr>
          <w:lang w:val="en-GB"/>
        </w:rPr>
        <w:t>4</w:t>
      </w:r>
      <w:r>
        <w:rPr>
          <w:lang w:val="en-GB"/>
        </w:rPr>
        <w:t xml:space="preserve">. </w:t>
      </w:r>
      <w:r w:rsidR="00322579">
        <w:rPr>
          <w:lang w:val="en-GB"/>
        </w:rPr>
        <w:t>Breakdown by Geography</w:t>
      </w:r>
      <w:bookmarkEnd w:id="14"/>
    </w:p>
    <w:p w14:paraId="2BB33D38" w14:textId="77777777" w:rsidR="00E33D87" w:rsidRDefault="00E33D87" w:rsidP="00126808">
      <w:pPr>
        <w:rPr>
          <w:b/>
          <w:lang w:val="en-GB"/>
        </w:rPr>
      </w:pPr>
    </w:p>
    <w:p w14:paraId="1CB0E26A" w14:textId="7FE9140D" w:rsidR="00F54E9C" w:rsidRDefault="00F54E9C" w:rsidP="00126808">
      <w:pPr>
        <w:rPr>
          <w:lang w:val="en-GB"/>
        </w:rPr>
      </w:pPr>
      <w:r>
        <w:rPr>
          <w:lang w:val="en-GB"/>
        </w:rPr>
        <w:t xml:space="preserve">In this section besides the breakdown by country at the same time also the breakdown between residential and commercial loans is provided. </w:t>
      </w:r>
    </w:p>
    <w:p w14:paraId="48EABA19" w14:textId="008602AB" w:rsidR="00F54E9C" w:rsidRPr="00E33D87" w:rsidRDefault="00F54E9C" w:rsidP="00126808">
      <w:pPr>
        <w:rPr>
          <w:lang w:val="en-GB"/>
        </w:rPr>
      </w:pPr>
      <w:r w:rsidRPr="00E33D87">
        <w:rPr>
          <w:lang w:val="en-GB"/>
        </w:rPr>
        <w:t xml:space="preserve">TWO POSSIBLE APPROACHES </w:t>
      </w:r>
      <w:r w:rsidR="00E33D87" w:rsidRPr="00E33D87">
        <w:rPr>
          <w:lang w:val="en-GB"/>
        </w:rPr>
        <w:t>can be used</w:t>
      </w:r>
      <w:r w:rsidRPr="00E33D87">
        <w:rPr>
          <w:lang w:val="en-GB"/>
        </w:rPr>
        <w:t>:</w:t>
      </w:r>
    </w:p>
    <w:p w14:paraId="6FF236C2" w14:textId="77AEF6CF" w:rsidR="00F54E9C" w:rsidRPr="00E33D87" w:rsidRDefault="00E33D87" w:rsidP="00126808">
      <w:pPr>
        <w:rPr>
          <w:lang w:val="en-GB"/>
        </w:rPr>
      </w:pPr>
      <w:r w:rsidRPr="00E33D87">
        <w:rPr>
          <w:lang w:val="en-GB"/>
        </w:rPr>
        <w:t>Approach</w:t>
      </w:r>
      <w:r w:rsidR="00F54E9C" w:rsidRPr="00E33D87">
        <w:rPr>
          <w:lang w:val="en-GB"/>
        </w:rPr>
        <w:t xml:space="preserve"> A: </w:t>
      </w:r>
    </w:p>
    <w:p w14:paraId="3A2B9CF9" w14:textId="77777777" w:rsidR="00F54E9C" w:rsidRPr="00E33D87" w:rsidRDefault="00F54E9C" w:rsidP="00126808">
      <w:pPr>
        <w:rPr>
          <w:lang w:val="en-GB"/>
        </w:rPr>
      </w:pPr>
      <w:bookmarkStart w:id="15" w:name="_Hlk5715685"/>
      <w:r w:rsidRPr="00E33D87">
        <w:rPr>
          <w:lang w:val="en-GB"/>
        </w:rPr>
        <w:t>The breakdown is provided separately for residential loans and commercial loans, thus reaching 100% in both columns.</w:t>
      </w:r>
    </w:p>
    <w:bookmarkEnd w:id="15"/>
    <w:p w14:paraId="3631D6E5" w14:textId="2F9C1571" w:rsidR="00F54E9C" w:rsidRPr="00E33D87" w:rsidRDefault="00E33D87" w:rsidP="00126808">
      <w:pPr>
        <w:rPr>
          <w:lang w:val="en-GB"/>
        </w:rPr>
      </w:pPr>
      <w:r w:rsidRPr="00E33D87">
        <w:rPr>
          <w:lang w:val="en-GB"/>
        </w:rPr>
        <w:t>Approach</w:t>
      </w:r>
      <w:r w:rsidR="00F54E9C" w:rsidRPr="00E33D87">
        <w:rPr>
          <w:lang w:val="en-GB"/>
        </w:rPr>
        <w:t xml:space="preserve"> B:</w:t>
      </w:r>
    </w:p>
    <w:p w14:paraId="310DF23F" w14:textId="400844A4" w:rsidR="00F54E9C" w:rsidRDefault="00F54E9C" w:rsidP="00126808">
      <w:pPr>
        <w:rPr>
          <w:lang w:val="en-GB"/>
        </w:rPr>
      </w:pPr>
      <w:bookmarkStart w:id="16" w:name="_Hlk5715699"/>
      <w:r w:rsidRPr="00E33D87">
        <w:rPr>
          <w:lang w:val="en-GB"/>
        </w:rPr>
        <w:t>The breakdown is provided for both types of loans together, thus 100% is reached by adding the breakdowns in both columns.</w:t>
      </w:r>
    </w:p>
    <w:p w14:paraId="7F1339AB" w14:textId="2359FB01" w:rsidR="006D5D14" w:rsidRDefault="00CD290F" w:rsidP="00F54E9C">
      <w:pPr>
        <w:pStyle w:val="Heading3"/>
        <w:rPr>
          <w:lang w:val="en-GB"/>
        </w:rPr>
      </w:pPr>
      <w:bookmarkStart w:id="17" w:name="_Toc5714057"/>
      <w:bookmarkEnd w:id="16"/>
      <w:r>
        <w:rPr>
          <w:lang w:val="en-GB"/>
        </w:rPr>
        <w:t>7.5</w:t>
      </w:r>
      <w:r w:rsidR="00F54E9C">
        <w:rPr>
          <w:lang w:val="en-GB"/>
        </w:rPr>
        <w:t>. Breakdown by regions of main country of origin</w:t>
      </w:r>
      <w:bookmarkEnd w:id="17"/>
    </w:p>
    <w:p w14:paraId="30C391B3" w14:textId="0363D735" w:rsidR="00073A8E" w:rsidRPr="00073A8E" w:rsidRDefault="00CA373B" w:rsidP="006D5D14">
      <w:pPr>
        <w:jc w:val="both"/>
        <w:rPr>
          <w:lang w:val="en-GB"/>
        </w:rPr>
        <w:sectPr w:rsidR="00073A8E" w:rsidRPr="00073A8E">
          <w:headerReference w:type="default" r:id="rId11"/>
          <w:pgSz w:w="11906" w:h="16838"/>
          <w:pgMar w:top="1440" w:right="1440" w:bottom="1440" w:left="1440" w:header="708" w:footer="708" w:gutter="0"/>
          <w:cols w:space="708"/>
          <w:docGrid w:linePitch="360"/>
        </w:sectPr>
      </w:pPr>
      <w:r>
        <w:rPr>
          <w:lang w:val="en-GB"/>
        </w:rPr>
        <w:t xml:space="preserve">In order to </w:t>
      </w:r>
      <w:r w:rsidR="00F71A48">
        <w:rPr>
          <w:lang w:val="en-GB"/>
        </w:rPr>
        <w:t>provide a</w:t>
      </w:r>
      <w:r w:rsidR="00AC1F4E">
        <w:rPr>
          <w:lang w:val="en-GB"/>
        </w:rPr>
        <w:t xml:space="preserve"> more consistent</w:t>
      </w:r>
      <w:r w:rsidR="00F71A48">
        <w:rPr>
          <w:lang w:val="en-GB"/>
        </w:rPr>
        <w:t xml:space="preserve"> comparison </w:t>
      </w:r>
      <w:r w:rsidR="00AC1F4E">
        <w:rPr>
          <w:lang w:val="en-GB"/>
        </w:rPr>
        <w:t>of the cover pools of the same jurisdictions, together with the support of the respective national coordinators, the Covered Bond Label presents the list of regions in which to report the cover assets</w:t>
      </w:r>
      <w:r w:rsidR="00073A8E">
        <w:rPr>
          <w:lang w:val="en-GB"/>
        </w:rPr>
        <w:t>.</w:t>
      </w:r>
      <w:r w:rsidR="00B30B9F">
        <w:rPr>
          <w:lang w:val="en-GB"/>
        </w:rPr>
        <w:t xml:space="preserve"> </w:t>
      </w:r>
      <w:r w:rsidR="00073A8E">
        <w:rPr>
          <w:lang w:val="en-GB"/>
        </w:rPr>
        <w:t xml:space="preserve">Here below the </w:t>
      </w:r>
      <w:r w:rsidR="006D5D14">
        <w:rPr>
          <w:lang w:val="en-GB"/>
        </w:rPr>
        <w:t xml:space="preserve"> list of regions in the countries ordered alphabetically</w:t>
      </w:r>
      <w:r w:rsidR="00DB5ECB">
        <w:rPr>
          <w:lang w:val="en-GB"/>
        </w:rPr>
        <w:t>:</w:t>
      </w:r>
    </w:p>
    <w:p w14:paraId="59B9409D" w14:textId="77777777" w:rsidR="00AC1F4E" w:rsidRDefault="00AC1F4E" w:rsidP="00AC1F4E">
      <w:pPr>
        <w:pStyle w:val="ListParagraph"/>
        <w:numPr>
          <w:ilvl w:val="0"/>
          <w:numId w:val="13"/>
        </w:numPr>
        <w:rPr>
          <w:lang w:val="en-GB"/>
        </w:rPr>
      </w:pPr>
      <w:r>
        <w:rPr>
          <w:lang w:val="en-GB"/>
        </w:rPr>
        <w:t>Austria</w:t>
      </w:r>
      <w:r w:rsidR="00445FFF">
        <w:rPr>
          <w:lang w:val="en-GB"/>
        </w:rPr>
        <w:t>:</w:t>
      </w:r>
    </w:p>
    <w:p w14:paraId="32F0B6E7" w14:textId="77777777" w:rsidR="00445FFF" w:rsidRPr="00445FFF" w:rsidRDefault="00445FFF" w:rsidP="00445FFF">
      <w:pPr>
        <w:pStyle w:val="ListParagraph"/>
        <w:numPr>
          <w:ilvl w:val="1"/>
          <w:numId w:val="13"/>
        </w:numPr>
        <w:rPr>
          <w:lang w:val="en-GB"/>
        </w:rPr>
      </w:pPr>
      <w:r w:rsidRPr="00445FFF">
        <w:rPr>
          <w:lang w:val="en-GB"/>
        </w:rPr>
        <w:t>Wien</w:t>
      </w:r>
    </w:p>
    <w:p w14:paraId="57A59D06" w14:textId="77777777" w:rsidR="00445FFF" w:rsidRPr="00445FFF" w:rsidRDefault="00445FFF" w:rsidP="00445FFF">
      <w:pPr>
        <w:pStyle w:val="ListParagraph"/>
        <w:numPr>
          <w:ilvl w:val="1"/>
          <w:numId w:val="13"/>
        </w:numPr>
        <w:rPr>
          <w:lang w:val="en-GB"/>
        </w:rPr>
      </w:pPr>
      <w:proofErr w:type="spellStart"/>
      <w:r w:rsidRPr="00445FFF">
        <w:rPr>
          <w:lang w:val="en-GB"/>
        </w:rPr>
        <w:t>Niederösterreich</w:t>
      </w:r>
      <w:proofErr w:type="spellEnd"/>
    </w:p>
    <w:p w14:paraId="0785D89C" w14:textId="77777777" w:rsidR="00445FFF" w:rsidRPr="00445FFF" w:rsidRDefault="00445FFF" w:rsidP="00445FFF">
      <w:pPr>
        <w:pStyle w:val="ListParagraph"/>
        <w:numPr>
          <w:ilvl w:val="1"/>
          <w:numId w:val="13"/>
        </w:numPr>
        <w:rPr>
          <w:lang w:val="en-GB"/>
        </w:rPr>
      </w:pPr>
      <w:proofErr w:type="spellStart"/>
      <w:r w:rsidRPr="00445FFF">
        <w:rPr>
          <w:lang w:val="en-GB"/>
        </w:rPr>
        <w:t>Oberösterreich</w:t>
      </w:r>
      <w:proofErr w:type="spellEnd"/>
    </w:p>
    <w:p w14:paraId="34D37B97" w14:textId="77777777" w:rsidR="00445FFF" w:rsidRPr="00445FFF" w:rsidRDefault="00445FFF" w:rsidP="00445FFF">
      <w:pPr>
        <w:pStyle w:val="ListParagraph"/>
        <w:numPr>
          <w:ilvl w:val="1"/>
          <w:numId w:val="13"/>
        </w:numPr>
        <w:rPr>
          <w:lang w:val="en-GB"/>
        </w:rPr>
      </w:pPr>
      <w:r w:rsidRPr="00445FFF">
        <w:rPr>
          <w:lang w:val="en-GB"/>
        </w:rPr>
        <w:t>Salzburg</w:t>
      </w:r>
    </w:p>
    <w:p w14:paraId="30391C0F" w14:textId="77777777" w:rsidR="00445FFF" w:rsidRPr="00445FFF" w:rsidRDefault="00445FFF" w:rsidP="00445FFF">
      <w:pPr>
        <w:pStyle w:val="ListParagraph"/>
        <w:numPr>
          <w:ilvl w:val="1"/>
          <w:numId w:val="13"/>
        </w:numPr>
        <w:rPr>
          <w:lang w:val="en-GB"/>
        </w:rPr>
      </w:pPr>
      <w:r w:rsidRPr="00445FFF">
        <w:rPr>
          <w:lang w:val="en-GB"/>
        </w:rPr>
        <w:t>Tirol</w:t>
      </w:r>
    </w:p>
    <w:p w14:paraId="19F63AE0" w14:textId="77777777" w:rsidR="00445FFF" w:rsidRPr="00445FFF" w:rsidRDefault="00445FFF" w:rsidP="00445FFF">
      <w:pPr>
        <w:pStyle w:val="ListParagraph"/>
        <w:numPr>
          <w:ilvl w:val="1"/>
          <w:numId w:val="13"/>
        </w:numPr>
        <w:rPr>
          <w:lang w:val="en-GB"/>
        </w:rPr>
      </w:pPr>
      <w:proofErr w:type="spellStart"/>
      <w:r w:rsidRPr="00445FFF">
        <w:rPr>
          <w:lang w:val="en-GB"/>
        </w:rPr>
        <w:t>Steiermark</w:t>
      </w:r>
      <w:proofErr w:type="spellEnd"/>
    </w:p>
    <w:p w14:paraId="163D6B89" w14:textId="77777777" w:rsidR="00445FFF" w:rsidRPr="00445FFF" w:rsidRDefault="00445FFF" w:rsidP="00445FFF">
      <w:pPr>
        <w:pStyle w:val="ListParagraph"/>
        <w:numPr>
          <w:ilvl w:val="1"/>
          <w:numId w:val="13"/>
        </w:numPr>
        <w:rPr>
          <w:lang w:val="en-GB"/>
        </w:rPr>
      </w:pPr>
      <w:r w:rsidRPr="00445FFF">
        <w:rPr>
          <w:lang w:val="en-GB"/>
        </w:rPr>
        <w:t>Kärnten</w:t>
      </w:r>
    </w:p>
    <w:p w14:paraId="4D53172C" w14:textId="77777777" w:rsidR="00445FFF" w:rsidRPr="00445FFF" w:rsidRDefault="00445FFF" w:rsidP="00445FFF">
      <w:pPr>
        <w:pStyle w:val="ListParagraph"/>
        <w:numPr>
          <w:ilvl w:val="1"/>
          <w:numId w:val="13"/>
        </w:numPr>
        <w:rPr>
          <w:lang w:val="en-GB"/>
        </w:rPr>
      </w:pPr>
      <w:r w:rsidRPr="00445FFF">
        <w:rPr>
          <w:lang w:val="en-GB"/>
        </w:rPr>
        <w:t>Burgenland</w:t>
      </w:r>
    </w:p>
    <w:p w14:paraId="07ACD9DD" w14:textId="77777777" w:rsidR="00445FFF" w:rsidRDefault="00445FFF" w:rsidP="00445FFF">
      <w:pPr>
        <w:pStyle w:val="ListParagraph"/>
        <w:numPr>
          <w:ilvl w:val="1"/>
          <w:numId w:val="13"/>
        </w:numPr>
        <w:rPr>
          <w:lang w:val="en-GB"/>
        </w:rPr>
      </w:pPr>
      <w:r w:rsidRPr="00445FFF">
        <w:rPr>
          <w:lang w:val="en-GB"/>
        </w:rPr>
        <w:t>Vorarlberg</w:t>
      </w:r>
    </w:p>
    <w:p w14:paraId="0D2EB5D3" w14:textId="77777777" w:rsidR="00445FFF" w:rsidRDefault="00445FFF" w:rsidP="00445FFF">
      <w:pPr>
        <w:pStyle w:val="ListParagraph"/>
        <w:numPr>
          <w:ilvl w:val="0"/>
          <w:numId w:val="13"/>
        </w:numPr>
        <w:rPr>
          <w:lang w:val="en-GB"/>
        </w:rPr>
      </w:pPr>
      <w:r>
        <w:rPr>
          <w:lang w:val="en-GB"/>
        </w:rPr>
        <w:t>Belgium:</w:t>
      </w:r>
    </w:p>
    <w:p w14:paraId="54021E84" w14:textId="77777777" w:rsidR="00445FFF" w:rsidRPr="00445FFF" w:rsidRDefault="00445FFF" w:rsidP="00445FFF">
      <w:pPr>
        <w:pStyle w:val="ListParagraph"/>
        <w:numPr>
          <w:ilvl w:val="1"/>
          <w:numId w:val="13"/>
        </w:numPr>
        <w:rPr>
          <w:lang w:val="en-GB"/>
        </w:rPr>
      </w:pPr>
      <w:proofErr w:type="spellStart"/>
      <w:r w:rsidRPr="00445FFF">
        <w:rPr>
          <w:lang w:val="en-GB"/>
        </w:rPr>
        <w:t>Antwerpen</w:t>
      </w:r>
      <w:proofErr w:type="spellEnd"/>
    </w:p>
    <w:p w14:paraId="70599700" w14:textId="77777777" w:rsidR="00445FFF" w:rsidRPr="00445FFF" w:rsidRDefault="00445FFF" w:rsidP="00445FFF">
      <w:pPr>
        <w:pStyle w:val="ListParagraph"/>
        <w:numPr>
          <w:ilvl w:val="1"/>
          <w:numId w:val="13"/>
        </w:numPr>
        <w:rPr>
          <w:lang w:val="en-GB"/>
        </w:rPr>
      </w:pPr>
      <w:proofErr w:type="spellStart"/>
      <w:r w:rsidRPr="00445FFF">
        <w:rPr>
          <w:lang w:val="en-GB"/>
        </w:rPr>
        <w:t>Vlaams</w:t>
      </w:r>
      <w:proofErr w:type="spellEnd"/>
      <w:r w:rsidRPr="00445FFF">
        <w:rPr>
          <w:lang w:val="en-GB"/>
        </w:rPr>
        <w:t>-Brabant</w:t>
      </w:r>
    </w:p>
    <w:p w14:paraId="3802CE2A" w14:textId="77777777" w:rsidR="00445FFF" w:rsidRPr="00445FFF" w:rsidRDefault="00445FFF" w:rsidP="00445FFF">
      <w:pPr>
        <w:pStyle w:val="ListParagraph"/>
        <w:numPr>
          <w:ilvl w:val="1"/>
          <w:numId w:val="13"/>
        </w:numPr>
        <w:rPr>
          <w:lang w:val="en-GB"/>
        </w:rPr>
      </w:pPr>
      <w:r w:rsidRPr="00445FFF">
        <w:rPr>
          <w:lang w:val="en-GB"/>
        </w:rPr>
        <w:t>Oost-</w:t>
      </w:r>
      <w:proofErr w:type="spellStart"/>
      <w:r w:rsidRPr="00445FFF">
        <w:rPr>
          <w:lang w:val="en-GB"/>
        </w:rPr>
        <w:t>Vlaanderen</w:t>
      </w:r>
      <w:proofErr w:type="spellEnd"/>
    </w:p>
    <w:p w14:paraId="5EAC0223" w14:textId="77777777" w:rsidR="00445FFF" w:rsidRPr="00445FFF" w:rsidRDefault="00445FFF" w:rsidP="00445FFF">
      <w:pPr>
        <w:pStyle w:val="ListParagraph"/>
        <w:numPr>
          <w:ilvl w:val="1"/>
          <w:numId w:val="13"/>
        </w:numPr>
        <w:rPr>
          <w:lang w:val="en-GB"/>
        </w:rPr>
      </w:pPr>
      <w:r w:rsidRPr="00445FFF">
        <w:rPr>
          <w:lang w:val="en-GB"/>
        </w:rPr>
        <w:t>Brussels</w:t>
      </w:r>
    </w:p>
    <w:p w14:paraId="07DAF39A" w14:textId="77777777" w:rsidR="00445FFF" w:rsidRPr="00445FFF" w:rsidRDefault="00445FFF" w:rsidP="00445FFF">
      <w:pPr>
        <w:pStyle w:val="ListParagraph"/>
        <w:numPr>
          <w:ilvl w:val="1"/>
          <w:numId w:val="13"/>
        </w:numPr>
        <w:rPr>
          <w:lang w:val="en-GB"/>
        </w:rPr>
      </w:pPr>
      <w:r w:rsidRPr="00445FFF">
        <w:rPr>
          <w:lang w:val="en-GB"/>
        </w:rPr>
        <w:t>West-</w:t>
      </w:r>
      <w:proofErr w:type="spellStart"/>
      <w:r w:rsidRPr="00445FFF">
        <w:rPr>
          <w:lang w:val="en-GB"/>
        </w:rPr>
        <w:t>Vlaanderen</w:t>
      </w:r>
      <w:proofErr w:type="spellEnd"/>
    </w:p>
    <w:p w14:paraId="75C00A39" w14:textId="77777777" w:rsidR="00445FFF" w:rsidRPr="00445FFF" w:rsidRDefault="00445FFF" w:rsidP="00445FFF">
      <w:pPr>
        <w:pStyle w:val="ListParagraph"/>
        <w:numPr>
          <w:ilvl w:val="1"/>
          <w:numId w:val="13"/>
        </w:numPr>
        <w:rPr>
          <w:lang w:val="en-GB"/>
        </w:rPr>
      </w:pPr>
      <w:r w:rsidRPr="00445FFF">
        <w:rPr>
          <w:lang w:val="en-GB"/>
        </w:rPr>
        <w:t>Limburg</w:t>
      </w:r>
    </w:p>
    <w:p w14:paraId="63551E26" w14:textId="77777777" w:rsidR="00445FFF" w:rsidRPr="00445FFF" w:rsidRDefault="00445FFF" w:rsidP="00445FFF">
      <w:pPr>
        <w:pStyle w:val="ListParagraph"/>
        <w:numPr>
          <w:ilvl w:val="1"/>
          <w:numId w:val="13"/>
        </w:numPr>
        <w:rPr>
          <w:lang w:val="en-GB"/>
        </w:rPr>
      </w:pPr>
      <w:r w:rsidRPr="00445FFF">
        <w:rPr>
          <w:lang w:val="en-GB"/>
        </w:rPr>
        <w:t>Liège</w:t>
      </w:r>
    </w:p>
    <w:p w14:paraId="537271F1" w14:textId="77777777" w:rsidR="00445FFF" w:rsidRPr="00445FFF" w:rsidRDefault="00445FFF" w:rsidP="00445FFF">
      <w:pPr>
        <w:pStyle w:val="ListParagraph"/>
        <w:numPr>
          <w:ilvl w:val="1"/>
          <w:numId w:val="13"/>
        </w:numPr>
        <w:rPr>
          <w:lang w:val="en-GB"/>
        </w:rPr>
      </w:pPr>
      <w:r w:rsidRPr="00445FFF">
        <w:rPr>
          <w:lang w:val="en-GB"/>
        </w:rPr>
        <w:t>Hainaut</w:t>
      </w:r>
    </w:p>
    <w:p w14:paraId="688A1818" w14:textId="77777777" w:rsidR="00445FFF" w:rsidRPr="00445FFF" w:rsidRDefault="00445FFF" w:rsidP="00445FFF">
      <w:pPr>
        <w:pStyle w:val="ListParagraph"/>
        <w:numPr>
          <w:ilvl w:val="1"/>
          <w:numId w:val="13"/>
        </w:numPr>
        <w:rPr>
          <w:lang w:val="en-GB"/>
        </w:rPr>
      </w:pPr>
      <w:r w:rsidRPr="00445FFF">
        <w:rPr>
          <w:lang w:val="en-GB"/>
        </w:rPr>
        <w:t xml:space="preserve">Brabant </w:t>
      </w:r>
      <w:proofErr w:type="spellStart"/>
      <w:r w:rsidRPr="00445FFF">
        <w:rPr>
          <w:lang w:val="en-GB"/>
        </w:rPr>
        <w:t>Wallon</w:t>
      </w:r>
      <w:proofErr w:type="spellEnd"/>
    </w:p>
    <w:p w14:paraId="14CB3FFD" w14:textId="77777777" w:rsidR="00445FFF" w:rsidRPr="00445FFF" w:rsidRDefault="00445FFF" w:rsidP="00445FFF">
      <w:pPr>
        <w:pStyle w:val="ListParagraph"/>
        <w:numPr>
          <w:ilvl w:val="1"/>
          <w:numId w:val="13"/>
        </w:numPr>
        <w:rPr>
          <w:lang w:val="en-GB"/>
        </w:rPr>
      </w:pPr>
      <w:r w:rsidRPr="00445FFF">
        <w:rPr>
          <w:lang w:val="en-GB"/>
        </w:rPr>
        <w:t>Namur</w:t>
      </w:r>
    </w:p>
    <w:p w14:paraId="54629CA2" w14:textId="77777777" w:rsidR="00445FFF" w:rsidRDefault="00445FFF" w:rsidP="00445FFF">
      <w:pPr>
        <w:pStyle w:val="ListParagraph"/>
        <w:numPr>
          <w:ilvl w:val="1"/>
          <w:numId w:val="13"/>
        </w:numPr>
        <w:rPr>
          <w:lang w:val="en-GB"/>
        </w:rPr>
      </w:pPr>
      <w:r w:rsidRPr="00445FFF">
        <w:rPr>
          <w:lang w:val="en-GB"/>
        </w:rPr>
        <w:t>Luxembourg</w:t>
      </w:r>
    </w:p>
    <w:p w14:paraId="661FD6E1" w14:textId="1A95A975" w:rsidR="00445FFF" w:rsidRDefault="00445FFF" w:rsidP="00445FFF">
      <w:pPr>
        <w:pStyle w:val="ListParagraph"/>
        <w:numPr>
          <w:ilvl w:val="0"/>
          <w:numId w:val="13"/>
        </w:numPr>
        <w:rPr>
          <w:lang w:val="en-GB"/>
        </w:rPr>
      </w:pPr>
      <w:r>
        <w:rPr>
          <w:lang w:val="en-GB"/>
        </w:rPr>
        <w:lastRenderedPageBreak/>
        <w:t>Canada:</w:t>
      </w:r>
    </w:p>
    <w:p w14:paraId="6E836262" w14:textId="77777777" w:rsidR="00445FFF" w:rsidRPr="00445FFF" w:rsidRDefault="00445FFF" w:rsidP="00445FFF">
      <w:pPr>
        <w:pStyle w:val="ListParagraph"/>
        <w:numPr>
          <w:ilvl w:val="1"/>
          <w:numId w:val="13"/>
        </w:numPr>
        <w:rPr>
          <w:lang w:val="en-GB"/>
        </w:rPr>
      </w:pPr>
      <w:r w:rsidRPr="00445FFF">
        <w:rPr>
          <w:lang w:val="en-GB"/>
        </w:rPr>
        <w:t>Alberta</w:t>
      </w:r>
    </w:p>
    <w:p w14:paraId="416231FA" w14:textId="77777777" w:rsidR="00445FFF" w:rsidRPr="00445FFF" w:rsidRDefault="00445FFF" w:rsidP="00445FFF">
      <w:pPr>
        <w:pStyle w:val="ListParagraph"/>
        <w:numPr>
          <w:ilvl w:val="1"/>
          <w:numId w:val="13"/>
        </w:numPr>
        <w:rPr>
          <w:lang w:val="en-GB"/>
        </w:rPr>
      </w:pPr>
      <w:r w:rsidRPr="00445FFF">
        <w:rPr>
          <w:lang w:val="en-GB"/>
        </w:rPr>
        <w:t>British Columbia</w:t>
      </w:r>
    </w:p>
    <w:p w14:paraId="6F241EB5" w14:textId="77777777" w:rsidR="00445FFF" w:rsidRPr="00445FFF" w:rsidRDefault="00445FFF" w:rsidP="00445FFF">
      <w:pPr>
        <w:pStyle w:val="ListParagraph"/>
        <w:numPr>
          <w:ilvl w:val="1"/>
          <w:numId w:val="13"/>
        </w:numPr>
        <w:rPr>
          <w:lang w:val="en-GB"/>
        </w:rPr>
      </w:pPr>
      <w:r w:rsidRPr="00445FFF">
        <w:rPr>
          <w:lang w:val="en-GB"/>
        </w:rPr>
        <w:t>Manitoba</w:t>
      </w:r>
    </w:p>
    <w:p w14:paraId="57BAEC41" w14:textId="77777777" w:rsidR="00445FFF" w:rsidRPr="00445FFF" w:rsidRDefault="00445FFF" w:rsidP="00445FFF">
      <w:pPr>
        <w:pStyle w:val="ListParagraph"/>
        <w:numPr>
          <w:ilvl w:val="1"/>
          <w:numId w:val="13"/>
        </w:numPr>
        <w:rPr>
          <w:lang w:val="en-GB"/>
        </w:rPr>
      </w:pPr>
      <w:r w:rsidRPr="00445FFF">
        <w:rPr>
          <w:lang w:val="en-GB"/>
        </w:rPr>
        <w:t>New Brunswick</w:t>
      </w:r>
    </w:p>
    <w:p w14:paraId="39066609" w14:textId="77777777" w:rsidR="00445FFF" w:rsidRPr="00445FFF" w:rsidRDefault="00445FFF" w:rsidP="00445FFF">
      <w:pPr>
        <w:pStyle w:val="ListParagraph"/>
        <w:numPr>
          <w:ilvl w:val="1"/>
          <w:numId w:val="13"/>
        </w:numPr>
        <w:rPr>
          <w:lang w:val="en-GB"/>
        </w:rPr>
      </w:pPr>
      <w:r w:rsidRPr="00445FFF">
        <w:rPr>
          <w:lang w:val="en-GB"/>
        </w:rPr>
        <w:t>Newfoundland and Labrador</w:t>
      </w:r>
    </w:p>
    <w:p w14:paraId="45853ABD" w14:textId="77777777" w:rsidR="00445FFF" w:rsidRPr="00445FFF" w:rsidRDefault="00445FFF" w:rsidP="00445FFF">
      <w:pPr>
        <w:pStyle w:val="ListParagraph"/>
        <w:numPr>
          <w:ilvl w:val="1"/>
          <w:numId w:val="13"/>
        </w:numPr>
        <w:rPr>
          <w:lang w:val="en-GB"/>
        </w:rPr>
      </w:pPr>
      <w:r w:rsidRPr="00445FFF">
        <w:rPr>
          <w:lang w:val="en-GB"/>
        </w:rPr>
        <w:t>Northwest Territories</w:t>
      </w:r>
    </w:p>
    <w:p w14:paraId="232B4BD7" w14:textId="77777777" w:rsidR="00445FFF" w:rsidRPr="00445FFF" w:rsidRDefault="00445FFF" w:rsidP="00445FFF">
      <w:pPr>
        <w:pStyle w:val="ListParagraph"/>
        <w:numPr>
          <w:ilvl w:val="1"/>
          <w:numId w:val="13"/>
        </w:numPr>
        <w:rPr>
          <w:lang w:val="en-GB"/>
        </w:rPr>
      </w:pPr>
      <w:r w:rsidRPr="00445FFF">
        <w:rPr>
          <w:lang w:val="en-GB"/>
        </w:rPr>
        <w:t>Nova Scotia</w:t>
      </w:r>
    </w:p>
    <w:p w14:paraId="4F092F27" w14:textId="77777777" w:rsidR="00445FFF" w:rsidRPr="00445FFF" w:rsidRDefault="00445FFF" w:rsidP="00445FFF">
      <w:pPr>
        <w:pStyle w:val="ListParagraph"/>
        <w:numPr>
          <w:ilvl w:val="1"/>
          <w:numId w:val="13"/>
        </w:numPr>
        <w:rPr>
          <w:lang w:val="en-GB"/>
        </w:rPr>
      </w:pPr>
      <w:r w:rsidRPr="00445FFF">
        <w:rPr>
          <w:lang w:val="en-GB"/>
        </w:rPr>
        <w:t>Nunavut</w:t>
      </w:r>
    </w:p>
    <w:p w14:paraId="2E62BFEA" w14:textId="77777777" w:rsidR="00445FFF" w:rsidRPr="00445FFF" w:rsidRDefault="00445FFF" w:rsidP="00445FFF">
      <w:pPr>
        <w:pStyle w:val="ListParagraph"/>
        <w:numPr>
          <w:ilvl w:val="1"/>
          <w:numId w:val="13"/>
        </w:numPr>
        <w:rPr>
          <w:lang w:val="en-GB"/>
        </w:rPr>
      </w:pPr>
      <w:r w:rsidRPr="00445FFF">
        <w:rPr>
          <w:lang w:val="en-GB"/>
        </w:rPr>
        <w:t>Ontario</w:t>
      </w:r>
    </w:p>
    <w:p w14:paraId="1D693832" w14:textId="77777777" w:rsidR="00445FFF" w:rsidRPr="00445FFF" w:rsidRDefault="00445FFF" w:rsidP="00445FFF">
      <w:pPr>
        <w:pStyle w:val="ListParagraph"/>
        <w:numPr>
          <w:ilvl w:val="1"/>
          <w:numId w:val="13"/>
        </w:numPr>
        <w:rPr>
          <w:lang w:val="en-GB"/>
        </w:rPr>
      </w:pPr>
      <w:r w:rsidRPr="00445FFF">
        <w:rPr>
          <w:lang w:val="en-GB"/>
        </w:rPr>
        <w:t>Prince Edward Island</w:t>
      </w:r>
    </w:p>
    <w:p w14:paraId="689D94E0" w14:textId="77777777" w:rsidR="00445FFF" w:rsidRPr="00445FFF" w:rsidRDefault="00445FFF" w:rsidP="00445FFF">
      <w:pPr>
        <w:pStyle w:val="ListParagraph"/>
        <w:numPr>
          <w:ilvl w:val="1"/>
          <w:numId w:val="13"/>
        </w:numPr>
        <w:rPr>
          <w:lang w:val="en-GB"/>
        </w:rPr>
      </w:pPr>
      <w:r w:rsidRPr="00445FFF">
        <w:rPr>
          <w:lang w:val="en-GB"/>
        </w:rPr>
        <w:t>Quebec</w:t>
      </w:r>
    </w:p>
    <w:p w14:paraId="006556DB" w14:textId="77777777" w:rsidR="00445FFF" w:rsidRPr="00445FFF" w:rsidRDefault="00445FFF" w:rsidP="00445FFF">
      <w:pPr>
        <w:pStyle w:val="ListParagraph"/>
        <w:numPr>
          <w:ilvl w:val="1"/>
          <w:numId w:val="13"/>
        </w:numPr>
        <w:rPr>
          <w:lang w:val="en-GB"/>
        </w:rPr>
      </w:pPr>
      <w:r w:rsidRPr="00445FFF">
        <w:rPr>
          <w:lang w:val="en-GB"/>
        </w:rPr>
        <w:t>Saskatchewan</w:t>
      </w:r>
    </w:p>
    <w:p w14:paraId="4AC1BE3D" w14:textId="77777777" w:rsidR="00445FFF" w:rsidRDefault="00445FFF" w:rsidP="00445FFF">
      <w:pPr>
        <w:pStyle w:val="ListParagraph"/>
        <w:numPr>
          <w:ilvl w:val="1"/>
          <w:numId w:val="13"/>
        </w:numPr>
        <w:rPr>
          <w:lang w:val="en-GB"/>
        </w:rPr>
      </w:pPr>
      <w:r w:rsidRPr="00445FFF">
        <w:rPr>
          <w:lang w:val="en-GB"/>
        </w:rPr>
        <w:t>Yukon</w:t>
      </w:r>
    </w:p>
    <w:p w14:paraId="05AC0A39" w14:textId="77777777" w:rsidR="00445FFF" w:rsidRDefault="00445FFF" w:rsidP="00445FFF">
      <w:pPr>
        <w:pStyle w:val="ListParagraph"/>
        <w:numPr>
          <w:ilvl w:val="0"/>
          <w:numId w:val="13"/>
        </w:numPr>
        <w:rPr>
          <w:lang w:val="en-GB"/>
        </w:rPr>
      </w:pPr>
      <w:r>
        <w:rPr>
          <w:lang w:val="en-GB"/>
        </w:rPr>
        <w:t>Denmark:</w:t>
      </w:r>
    </w:p>
    <w:p w14:paraId="3410E953" w14:textId="77777777" w:rsidR="00445FFF" w:rsidRPr="00445FFF" w:rsidRDefault="00445FFF" w:rsidP="00445FFF">
      <w:pPr>
        <w:pStyle w:val="ListParagraph"/>
        <w:numPr>
          <w:ilvl w:val="1"/>
          <w:numId w:val="13"/>
        </w:numPr>
        <w:rPr>
          <w:lang w:val="en-GB"/>
        </w:rPr>
      </w:pPr>
      <w:proofErr w:type="spellStart"/>
      <w:r w:rsidRPr="00445FFF">
        <w:rPr>
          <w:lang w:val="en-GB"/>
        </w:rPr>
        <w:t>Hovedstaden</w:t>
      </w:r>
      <w:proofErr w:type="spellEnd"/>
    </w:p>
    <w:p w14:paraId="07D3ECF9" w14:textId="77777777" w:rsidR="00445FFF" w:rsidRPr="00445FFF" w:rsidRDefault="00445FFF" w:rsidP="00445FFF">
      <w:pPr>
        <w:pStyle w:val="ListParagraph"/>
        <w:numPr>
          <w:ilvl w:val="1"/>
          <w:numId w:val="13"/>
        </w:numPr>
        <w:rPr>
          <w:lang w:val="en-GB"/>
        </w:rPr>
      </w:pPr>
      <w:proofErr w:type="spellStart"/>
      <w:r w:rsidRPr="00445FFF">
        <w:rPr>
          <w:lang w:val="en-GB"/>
        </w:rPr>
        <w:t>Sjælland</w:t>
      </w:r>
      <w:proofErr w:type="spellEnd"/>
    </w:p>
    <w:p w14:paraId="6836BB6F" w14:textId="77777777" w:rsidR="00445FFF" w:rsidRPr="00445FFF" w:rsidRDefault="00445FFF" w:rsidP="00445FFF">
      <w:pPr>
        <w:pStyle w:val="ListParagraph"/>
        <w:numPr>
          <w:ilvl w:val="1"/>
          <w:numId w:val="13"/>
        </w:numPr>
        <w:rPr>
          <w:lang w:val="en-GB"/>
        </w:rPr>
      </w:pPr>
      <w:proofErr w:type="spellStart"/>
      <w:r w:rsidRPr="00445FFF">
        <w:rPr>
          <w:lang w:val="en-GB"/>
        </w:rPr>
        <w:t>Syddanmark</w:t>
      </w:r>
      <w:proofErr w:type="spellEnd"/>
    </w:p>
    <w:p w14:paraId="16C18D42" w14:textId="77777777" w:rsidR="00445FFF" w:rsidRPr="00445FFF" w:rsidRDefault="00445FFF" w:rsidP="00445FFF">
      <w:pPr>
        <w:pStyle w:val="ListParagraph"/>
        <w:numPr>
          <w:ilvl w:val="1"/>
          <w:numId w:val="13"/>
        </w:numPr>
        <w:rPr>
          <w:lang w:val="en-GB"/>
        </w:rPr>
      </w:pPr>
      <w:r w:rsidRPr="00445FFF">
        <w:rPr>
          <w:lang w:val="en-GB"/>
        </w:rPr>
        <w:t>Midtjylland</w:t>
      </w:r>
    </w:p>
    <w:p w14:paraId="1A54E117" w14:textId="77777777" w:rsidR="00445FFF" w:rsidRDefault="00445FFF" w:rsidP="00445FFF">
      <w:pPr>
        <w:pStyle w:val="ListParagraph"/>
        <w:numPr>
          <w:ilvl w:val="1"/>
          <w:numId w:val="13"/>
        </w:numPr>
        <w:rPr>
          <w:lang w:val="en-GB"/>
        </w:rPr>
      </w:pPr>
      <w:proofErr w:type="spellStart"/>
      <w:r w:rsidRPr="00445FFF">
        <w:rPr>
          <w:lang w:val="en-GB"/>
        </w:rPr>
        <w:t>Nordjylland</w:t>
      </w:r>
      <w:proofErr w:type="spellEnd"/>
    </w:p>
    <w:p w14:paraId="454BE71A" w14:textId="77777777" w:rsidR="00445FFF" w:rsidRDefault="00445FFF" w:rsidP="00445FFF">
      <w:pPr>
        <w:pStyle w:val="ListParagraph"/>
        <w:numPr>
          <w:ilvl w:val="0"/>
          <w:numId w:val="13"/>
        </w:numPr>
        <w:rPr>
          <w:lang w:val="en-GB"/>
        </w:rPr>
      </w:pPr>
      <w:r>
        <w:rPr>
          <w:lang w:val="en-GB"/>
        </w:rPr>
        <w:t>Finland [still to be finalised]:</w:t>
      </w:r>
    </w:p>
    <w:p w14:paraId="0BEDAFAF" w14:textId="77777777" w:rsidR="00445FFF" w:rsidRPr="00445FFF" w:rsidRDefault="00445FFF" w:rsidP="00445FFF">
      <w:pPr>
        <w:pStyle w:val="ListParagraph"/>
        <w:numPr>
          <w:ilvl w:val="1"/>
          <w:numId w:val="13"/>
        </w:numPr>
        <w:rPr>
          <w:lang w:val="en-GB"/>
        </w:rPr>
      </w:pPr>
      <w:r w:rsidRPr="00445FFF">
        <w:rPr>
          <w:lang w:val="en-GB"/>
        </w:rPr>
        <w:t>Aland Islands</w:t>
      </w:r>
    </w:p>
    <w:p w14:paraId="38797AE1" w14:textId="77777777" w:rsidR="00445FFF" w:rsidRPr="00445FFF" w:rsidRDefault="00445FFF" w:rsidP="00445FFF">
      <w:pPr>
        <w:pStyle w:val="ListParagraph"/>
        <w:numPr>
          <w:ilvl w:val="1"/>
          <w:numId w:val="13"/>
        </w:numPr>
        <w:rPr>
          <w:lang w:val="en-GB"/>
        </w:rPr>
      </w:pPr>
      <w:r w:rsidRPr="00445FFF">
        <w:rPr>
          <w:lang w:val="en-GB"/>
        </w:rPr>
        <w:t>Central Finland</w:t>
      </w:r>
    </w:p>
    <w:p w14:paraId="276BED52" w14:textId="77777777" w:rsidR="00445FFF" w:rsidRPr="00445FFF" w:rsidRDefault="00445FFF" w:rsidP="00445FFF">
      <w:pPr>
        <w:pStyle w:val="ListParagraph"/>
        <w:numPr>
          <w:ilvl w:val="1"/>
          <w:numId w:val="13"/>
        </w:numPr>
        <w:rPr>
          <w:lang w:val="en-GB"/>
        </w:rPr>
      </w:pPr>
      <w:r w:rsidRPr="00445FFF">
        <w:rPr>
          <w:lang w:val="en-GB"/>
        </w:rPr>
        <w:t>Central Ostrobothnia</w:t>
      </w:r>
    </w:p>
    <w:p w14:paraId="727C259F" w14:textId="77777777" w:rsidR="00445FFF" w:rsidRPr="00445FFF" w:rsidRDefault="00445FFF" w:rsidP="00445FFF">
      <w:pPr>
        <w:pStyle w:val="ListParagraph"/>
        <w:numPr>
          <w:ilvl w:val="1"/>
          <w:numId w:val="13"/>
        </w:numPr>
        <w:rPr>
          <w:lang w:val="en-GB"/>
        </w:rPr>
      </w:pPr>
      <w:proofErr w:type="spellStart"/>
      <w:r w:rsidRPr="00445FFF">
        <w:rPr>
          <w:lang w:val="en-GB"/>
        </w:rPr>
        <w:t>Etela-Savo</w:t>
      </w:r>
      <w:proofErr w:type="spellEnd"/>
    </w:p>
    <w:p w14:paraId="14D107EE" w14:textId="77777777" w:rsidR="00445FFF" w:rsidRPr="00445FFF" w:rsidRDefault="00445FFF" w:rsidP="00445FFF">
      <w:pPr>
        <w:pStyle w:val="ListParagraph"/>
        <w:numPr>
          <w:ilvl w:val="1"/>
          <w:numId w:val="13"/>
        </w:numPr>
        <w:rPr>
          <w:lang w:val="en-GB"/>
        </w:rPr>
      </w:pPr>
      <w:proofErr w:type="spellStart"/>
      <w:r w:rsidRPr="00445FFF">
        <w:rPr>
          <w:lang w:val="en-GB"/>
        </w:rPr>
        <w:t>Kainuu</w:t>
      </w:r>
      <w:proofErr w:type="spellEnd"/>
    </w:p>
    <w:p w14:paraId="3229E45E" w14:textId="77777777" w:rsidR="00445FFF" w:rsidRPr="00445FFF" w:rsidRDefault="00445FFF" w:rsidP="00445FFF">
      <w:pPr>
        <w:pStyle w:val="ListParagraph"/>
        <w:numPr>
          <w:ilvl w:val="1"/>
          <w:numId w:val="13"/>
        </w:numPr>
        <w:rPr>
          <w:lang w:val="en-GB"/>
        </w:rPr>
      </w:pPr>
      <w:proofErr w:type="spellStart"/>
      <w:r w:rsidRPr="00445FFF">
        <w:rPr>
          <w:lang w:val="en-GB"/>
        </w:rPr>
        <w:t>Kanta-Hame</w:t>
      </w:r>
      <w:proofErr w:type="spellEnd"/>
    </w:p>
    <w:p w14:paraId="0C2AB8C0" w14:textId="77777777" w:rsidR="00445FFF" w:rsidRPr="00445FFF" w:rsidRDefault="00445FFF" w:rsidP="00445FFF">
      <w:pPr>
        <w:pStyle w:val="ListParagraph"/>
        <w:numPr>
          <w:ilvl w:val="1"/>
          <w:numId w:val="13"/>
        </w:numPr>
        <w:rPr>
          <w:lang w:val="en-GB"/>
        </w:rPr>
      </w:pPr>
      <w:proofErr w:type="spellStart"/>
      <w:r w:rsidRPr="00445FFF">
        <w:rPr>
          <w:lang w:val="en-GB"/>
        </w:rPr>
        <w:t>Kymenlaakso</w:t>
      </w:r>
      <w:proofErr w:type="spellEnd"/>
    </w:p>
    <w:p w14:paraId="5DFE65FB" w14:textId="77777777" w:rsidR="00445FFF" w:rsidRPr="00445FFF" w:rsidRDefault="00445FFF" w:rsidP="00445FFF">
      <w:pPr>
        <w:pStyle w:val="ListParagraph"/>
        <w:numPr>
          <w:ilvl w:val="1"/>
          <w:numId w:val="13"/>
        </w:numPr>
        <w:rPr>
          <w:lang w:val="en-GB"/>
        </w:rPr>
      </w:pPr>
      <w:r w:rsidRPr="00445FFF">
        <w:rPr>
          <w:lang w:val="en-GB"/>
        </w:rPr>
        <w:t>Lapland</w:t>
      </w:r>
    </w:p>
    <w:p w14:paraId="039B2BEC" w14:textId="77777777" w:rsidR="00445FFF" w:rsidRPr="00445FFF" w:rsidRDefault="00445FFF" w:rsidP="00445FFF">
      <w:pPr>
        <w:pStyle w:val="ListParagraph"/>
        <w:numPr>
          <w:ilvl w:val="1"/>
          <w:numId w:val="13"/>
        </w:numPr>
        <w:rPr>
          <w:lang w:val="en-GB"/>
        </w:rPr>
      </w:pPr>
      <w:r w:rsidRPr="00445FFF">
        <w:rPr>
          <w:lang w:val="en-GB"/>
        </w:rPr>
        <w:t>North Karelia</w:t>
      </w:r>
    </w:p>
    <w:p w14:paraId="72F0B920" w14:textId="77777777" w:rsidR="00445FFF" w:rsidRPr="00445FFF" w:rsidRDefault="00445FFF" w:rsidP="00445FFF">
      <w:pPr>
        <w:pStyle w:val="ListParagraph"/>
        <w:numPr>
          <w:ilvl w:val="1"/>
          <w:numId w:val="13"/>
        </w:numPr>
        <w:rPr>
          <w:lang w:val="en-GB"/>
        </w:rPr>
      </w:pPr>
      <w:r w:rsidRPr="00445FFF">
        <w:rPr>
          <w:lang w:val="en-GB"/>
        </w:rPr>
        <w:t>North Ostrobothnia</w:t>
      </w:r>
    </w:p>
    <w:p w14:paraId="17FAE9E7" w14:textId="77777777" w:rsidR="00445FFF" w:rsidRPr="00445FFF" w:rsidRDefault="00445FFF" w:rsidP="00445FFF">
      <w:pPr>
        <w:pStyle w:val="ListParagraph"/>
        <w:numPr>
          <w:ilvl w:val="1"/>
          <w:numId w:val="13"/>
        </w:numPr>
        <w:rPr>
          <w:lang w:val="en-GB"/>
        </w:rPr>
      </w:pPr>
      <w:r w:rsidRPr="00445FFF">
        <w:rPr>
          <w:lang w:val="en-GB"/>
        </w:rPr>
        <w:t>Ostrobothnia</w:t>
      </w:r>
    </w:p>
    <w:p w14:paraId="0FEBFE57" w14:textId="77777777" w:rsidR="00445FFF" w:rsidRPr="00445FFF" w:rsidRDefault="00445FFF" w:rsidP="00445FFF">
      <w:pPr>
        <w:pStyle w:val="ListParagraph"/>
        <w:numPr>
          <w:ilvl w:val="1"/>
          <w:numId w:val="13"/>
        </w:numPr>
        <w:rPr>
          <w:lang w:val="en-GB"/>
        </w:rPr>
      </w:pPr>
      <w:proofErr w:type="spellStart"/>
      <w:r w:rsidRPr="00445FFF">
        <w:rPr>
          <w:lang w:val="en-GB"/>
        </w:rPr>
        <w:t>Paijat-Hame</w:t>
      </w:r>
      <w:proofErr w:type="spellEnd"/>
    </w:p>
    <w:p w14:paraId="6B8904A7" w14:textId="77777777" w:rsidR="00445FFF" w:rsidRPr="00445FFF" w:rsidRDefault="00445FFF" w:rsidP="00445FFF">
      <w:pPr>
        <w:pStyle w:val="ListParagraph"/>
        <w:numPr>
          <w:ilvl w:val="1"/>
          <w:numId w:val="13"/>
        </w:numPr>
        <w:rPr>
          <w:lang w:val="en-GB"/>
        </w:rPr>
      </w:pPr>
      <w:proofErr w:type="spellStart"/>
      <w:r w:rsidRPr="00445FFF">
        <w:rPr>
          <w:lang w:val="en-GB"/>
        </w:rPr>
        <w:t>Pirkanmaa</w:t>
      </w:r>
      <w:proofErr w:type="spellEnd"/>
    </w:p>
    <w:p w14:paraId="02846B97" w14:textId="77777777" w:rsidR="00445FFF" w:rsidRPr="00445FFF" w:rsidRDefault="00445FFF" w:rsidP="00445FFF">
      <w:pPr>
        <w:pStyle w:val="ListParagraph"/>
        <w:numPr>
          <w:ilvl w:val="1"/>
          <w:numId w:val="13"/>
        </w:numPr>
        <w:rPr>
          <w:lang w:val="en-GB"/>
        </w:rPr>
      </w:pPr>
      <w:proofErr w:type="spellStart"/>
      <w:r w:rsidRPr="00445FFF">
        <w:rPr>
          <w:lang w:val="en-GB"/>
        </w:rPr>
        <w:t>Pohjois-Savo</w:t>
      </w:r>
      <w:proofErr w:type="spellEnd"/>
    </w:p>
    <w:p w14:paraId="2D202924" w14:textId="77777777" w:rsidR="00445FFF" w:rsidRPr="00445FFF" w:rsidRDefault="00445FFF" w:rsidP="00445FFF">
      <w:pPr>
        <w:pStyle w:val="ListParagraph"/>
        <w:numPr>
          <w:ilvl w:val="1"/>
          <w:numId w:val="13"/>
        </w:numPr>
        <w:rPr>
          <w:lang w:val="en-GB"/>
        </w:rPr>
      </w:pPr>
      <w:proofErr w:type="spellStart"/>
      <w:r w:rsidRPr="00445FFF">
        <w:rPr>
          <w:lang w:val="en-GB"/>
        </w:rPr>
        <w:t>Satakunta</w:t>
      </w:r>
      <w:proofErr w:type="spellEnd"/>
    </w:p>
    <w:p w14:paraId="45D72724" w14:textId="77777777" w:rsidR="00445FFF" w:rsidRPr="00445FFF" w:rsidRDefault="00445FFF" w:rsidP="00445FFF">
      <w:pPr>
        <w:pStyle w:val="ListParagraph"/>
        <w:numPr>
          <w:ilvl w:val="1"/>
          <w:numId w:val="13"/>
        </w:numPr>
        <w:rPr>
          <w:lang w:val="en-GB"/>
        </w:rPr>
      </w:pPr>
      <w:r w:rsidRPr="00445FFF">
        <w:rPr>
          <w:lang w:val="en-GB"/>
        </w:rPr>
        <w:t>South Karelia</w:t>
      </w:r>
    </w:p>
    <w:p w14:paraId="6A05717C" w14:textId="77777777" w:rsidR="00445FFF" w:rsidRPr="00445FFF" w:rsidRDefault="00445FFF" w:rsidP="00445FFF">
      <w:pPr>
        <w:pStyle w:val="ListParagraph"/>
        <w:numPr>
          <w:ilvl w:val="1"/>
          <w:numId w:val="13"/>
        </w:numPr>
        <w:rPr>
          <w:lang w:val="en-GB"/>
        </w:rPr>
      </w:pPr>
      <w:r w:rsidRPr="00445FFF">
        <w:rPr>
          <w:lang w:val="en-GB"/>
        </w:rPr>
        <w:t>South Ostrobothnia</w:t>
      </w:r>
    </w:p>
    <w:p w14:paraId="6DDF80FB" w14:textId="77777777" w:rsidR="00445FFF" w:rsidRPr="00445FFF" w:rsidRDefault="00445FFF" w:rsidP="00445FFF">
      <w:pPr>
        <w:pStyle w:val="ListParagraph"/>
        <w:numPr>
          <w:ilvl w:val="1"/>
          <w:numId w:val="13"/>
        </w:numPr>
        <w:rPr>
          <w:lang w:val="en-GB"/>
        </w:rPr>
      </w:pPr>
      <w:proofErr w:type="spellStart"/>
      <w:r w:rsidRPr="00445FFF">
        <w:rPr>
          <w:lang w:val="en-GB"/>
        </w:rPr>
        <w:t>Uusimaa</w:t>
      </w:r>
      <w:proofErr w:type="spellEnd"/>
    </w:p>
    <w:p w14:paraId="3263FC58" w14:textId="77777777" w:rsidR="00445FFF" w:rsidRDefault="00445FFF" w:rsidP="00445FFF">
      <w:pPr>
        <w:pStyle w:val="ListParagraph"/>
        <w:numPr>
          <w:ilvl w:val="1"/>
          <w:numId w:val="13"/>
        </w:numPr>
        <w:rPr>
          <w:lang w:val="en-GB"/>
        </w:rPr>
      </w:pPr>
      <w:proofErr w:type="spellStart"/>
      <w:r w:rsidRPr="00445FFF">
        <w:rPr>
          <w:lang w:val="en-GB"/>
        </w:rPr>
        <w:t>Varsinais</w:t>
      </w:r>
      <w:proofErr w:type="spellEnd"/>
      <w:r w:rsidRPr="00445FFF">
        <w:rPr>
          <w:lang w:val="en-GB"/>
        </w:rPr>
        <w:t>-Suomi</w:t>
      </w:r>
    </w:p>
    <w:p w14:paraId="40D489D2" w14:textId="6A793ABE" w:rsidR="00445FFF" w:rsidRDefault="00445FFF" w:rsidP="00445FFF">
      <w:pPr>
        <w:pStyle w:val="ListParagraph"/>
        <w:numPr>
          <w:ilvl w:val="0"/>
          <w:numId w:val="13"/>
        </w:numPr>
        <w:rPr>
          <w:lang w:val="en-GB"/>
        </w:rPr>
      </w:pPr>
      <w:r>
        <w:rPr>
          <w:lang w:val="en-GB"/>
        </w:rPr>
        <w:t>France</w:t>
      </w:r>
      <w:r w:rsidR="003C6C72">
        <w:rPr>
          <w:lang w:val="en-GB"/>
        </w:rPr>
        <w:t>:</w:t>
      </w:r>
    </w:p>
    <w:p w14:paraId="63E153C3" w14:textId="77777777" w:rsidR="003C6C72" w:rsidRPr="003C6C72" w:rsidRDefault="003C6C72" w:rsidP="003C6C72">
      <w:pPr>
        <w:pStyle w:val="ListParagraph"/>
        <w:numPr>
          <w:ilvl w:val="1"/>
          <w:numId w:val="13"/>
        </w:numPr>
        <w:rPr>
          <w:lang w:val="en-GB"/>
        </w:rPr>
      </w:pPr>
      <w:bookmarkStart w:id="18" w:name="_Hlk8724700"/>
      <w:r w:rsidRPr="003C6C72">
        <w:rPr>
          <w:lang w:val="en-GB"/>
        </w:rPr>
        <w:t>Auvergne-Rhône-Alpes</w:t>
      </w:r>
    </w:p>
    <w:p w14:paraId="565751A8" w14:textId="77777777" w:rsidR="003C6C72" w:rsidRPr="003C6C72" w:rsidRDefault="003C6C72" w:rsidP="003C6C72">
      <w:pPr>
        <w:pStyle w:val="ListParagraph"/>
        <w:numPr>
          <w:ilvl w:val="1"/>
          <w:numId w:val="13"/>
        </w:numPr>
        <w:rPr>
          <w:lang w:val="en-GB"/>
        </w:rPr>
      </w:pPr>
      <w:r w:rsidRPr="003C6C72">
        <w:rPr>
          <w:lang w:val="en-GB"/>
        </w:rPr>
        <w:t>Bourgogne-Franche-Comté</w:t>
      </w:r>
    </w:p>
    <w:p w14:paraId="6EE4707F" w14:textId="77777777" w:rsidR="003C6C72" w:rsidRPr="003C6C72" w:rsidRDefault="003C6C72" w:rsidP="003C6C72">
      <w:pPr>
        <w:pStyle w:val="ListParagraph"/>
        <w:numPr>
          <w:ilvl w:val="1"/>
          <w:numId w:val="13"/>
        </w:numPr>
        <w:rPr>
          <w:lang w:val="en-GB"/>
        </w:rPr>
      </w:pPr>
      <w:r w:rsidRPr="003C6C72">
        <w:rPr>
          <w:lang w:val="en-GB"/>
        </w:rPr>
        <w:t>Bretagne</w:t>
      </w:r>
    </w:p>
    <w:p w14:paraId="4CBCA981" w14:textId="77777777" w:rsidR="003C6C72" w:rsidRPr="003C6C72" w:rsidRDefault="003C6C72" w:rsidP="003C6C72">
      <w:pPr>
        <w:pStyle w:val="ListParagraph"/>
        <w:numPr>
          <w:ilvl w:val="1"/>
          <w:numId w:val="13"/>
        </w:numPr>
        <w:rPr>
          <w:lang w:val="en-GB"/>
        </w:rPr>
      </w:pPr>
      <w:r w:rsidRPr="003C6C72">
        <w:rPr>
          <w:lang w:val="en-GB"/>
        </w:rPr>
        <w:t>Centre-Val-de-Loire</w:t>
      </w:r>
    </w:p>
    <w:p w14:paraId="7CBF8CF5" w14:textId="77777777" w:rsidR="003C6C72" w:rsidRPr="003C6C72" w:rsidRDefault="003C6C72" w:rsidP="003C6C72">
      <w:pPr>
        <w:pStyle w:val="ListParagraph"/>
        <w:numPr>
          <w:ilvl w:val="1"/>
          <w:numId w:val="13"/>
        </w:numPr>
        <w:rPr>
          <w:lang w:val="en-GB"/>
        </w:rPr>
      </w:pPr>
      <w:r w:rsidRPr="003C6C72">
        <w:rPr>
          <w:lang w:val="en-GB"/>
        </w:rPr>
        <w:t>Grand-Est</w:t>
      </w:r>
    </w:p>
    <w:p w14:paraId="5B8F7DB3" w14:textId="77777777" w:rsidR="003C6C72" w:rsidRPr="003C6C72" w:rsidRDefault="003C6C72" w:rsidP="003C6C72">
      <w:pPr>
        <w:pStyle w:val="ListParagraph"/>
        <w:numPr>
          <w:ilvl w:val="1"/>
          <w:numId w:val="13"/>
        </w:numPr>
        <w:rPr>
          <w:lang w:val="en-GB"/>
        </w:rPr>
      </w:pPr>
      <w:r w:rsidRPr="003C6C72">
        <w:rPr>
          <w:lang w:val="en-GB"/>
        </w:rPr>
        <w:t>Corse</w:t>
      </w:r>
    </w:p>
    <w:p w14:paraId="2AD62F0B" w14:textId="6BE7C038" w:rsidR="003C6C72" w:rsidRPr="003C6C72" w:rsidRDefault="003C6C72" w:rsidP="003C6C72">
      <w:pPr>
        <w:pStyle w:val="ListParagraph"/>
        <w:numPr>
          <w:ilvl w:val="1"/>
          <w:numId w:val="13"/>
        </w:numPr>
        <w:rPr>
          <w:lang w:val="en-GB"/>
        </w:rPr>
      </w:pPr>
      <w:r w:rsidRPr="003C6C72">
        <w:rPr>
          <w:lang w:val="en-GB"/>
        </w:rPr>
        <w:t>Outremer</w:t>
      </w:r>
    </w:p>
    <w:p w14:paraId="75D78BDD" w14:textId="77777777" w:rsidR="003C6C72" w:rsidRPr="003C6C72" w:rsidRDefault="003C6C72" w:rsidP="003C6C72">
      <w:pPr>
        <w:pStyle w:val="ListParagraph"/>
        <w:numPr>
          <w:ilvl w:val="1"/>
          <w:numId w:val="13"/>
        </w:numPr>
        <w:rPr>
          <w:lang w:val="en-GB"/>
        </w:rPr>
      </w:pPr>
      <w:proofErr w:type="spellStart"/>
      <w:r w:rsidRPr="003C6C72">
        <w:rPr>
          <w:lang w:val="en-GB"/>
        </w:rPr>
        <w:t>Occitanie</w:t>
      </w:r>
      <w:proofErr w:type="spellEnd"/>
    </w:p>
    <w:p w14:paraId="691D9970" w14:textId="77777777" w:rsidR="003C6C72" w:rsidRPr="003C6C72" w:rsidRDefault="003C6C72" w:rsidP="003C6C72">
      <w:pPr>
        <w:pStyle w:val="ListParagraph"/>
        <w:numPr>
          <w:ilvl w:val="1"/>
          <w:numId w:val="13"/>
        </w:numPr>
        <w:rPr>
          <w:lang w:val="en-GB"/>
        </w:rPr>
      </w:pPr>
      <w:r w:rsidRPr="003C6C72">
        <w:rPr>
          <w:lang w:val="en-GB"/>
        </w:rPr>
        <w:t>Normandie</w:t>
      </w:r>
    </w:p>
    <w:p w14:paraId="2F945D24" w14:textId="77777777" w:rsidR="003C6C72" w:rsidRPr="003C6C72" w:rsidRDefault="003C6C72" w:rsidP="003C6C72">
      <w:pPr>
        <w:pStyle w:val="ListParagraph"/>
        <w:numPr>
          <w:ilvl w:val="1"/>
          <w:numId w:val="13"/>
        </w:numPr>
        <w:rPr>
          <w:lang w:val="en-GB"/>
        </w:rPr>
      </w:pPr>
      <w:r w:rsidRPr="003C6C72">
        <w:rPr>
          <w:lang w:val="en-GB"/>
        </w:rPr>
        <w:t>Ile-de-France</w:t>
      </w:r>
    </w:p>
    <w:p w14:paraId="69C606CA" w14:textId="77777777" w:rsidR="003C6C72" w:rsidRPr="003C6C72" w:rsidRDefault="003C6C72" w:rsidP="003C6C72">
      <w:pPr>
        <w:pStyle w:val="ListParagraph"/>
        <w:numPr>
          <w:ilvl w:val="1"/>
          <w:numId w:val="13"/>
        </w:numPr>
        <w:rPr>
          <w:lang w:val="en-GB"/>
        </w:rPr>
      </w:pPr>
      <w:r w:rsidRPr="003C6C72">
        <w:rPr>
          <w:lang w:val="en-GB"/>
        </w:rPr>
        <w:t>Nouvelle-Aquitaine</w:t>
      </w:r>
    </w:p>
    <w:p w14:paraId="6CFF75FB" w14:textId="77777777" w:rsidR="003C6C72" w:rsidRPr="003C6C72" w:rsidRDefault="003C6C72" w:rsidP="003C6C72">
      <w:pPr>
        <w:pStyle w:val="ListParagraph"/>
        <w:numPr>
          <w:ilvl w:val="1"/>
          <w:numId w:val="13"/>
        </w:numPr>
        <w:rPr>
          <w:lang w:val="en-GB"/>
        </w:rPr>
      </w:pPr>
      <w:proofErr w:type="spellStart"/>
      <w:r w:rsidRPr="003C6C72">
        <w:rPr>
          <w:lang w:val="en-GB"/>
        </w:rPr>
        <w:t>Hauts</w:t>
      </w:r>
      <w:proofErr w:type="spellEnd"/>
      <w:r w:rsidRPr="003C6C72">
        <w:rPr>
          <w:lang w:val="en-GB"/>
        </w:rPr>
        <w:t>-de-France</w:t>
      </w:r>
    </w:p>
    <w:p w14:paraId="1F5E0F07" w14:textId="77777777" w:rsidR="003C6C72" w:rsidRPr="003C6C72" w:rsidRDefault="003C6C72" w:rsidP="003C6C72">
      <w:pPr>
        <w:pStyle w:val="ListParagraph"/>
        <w:numPr>
          <w:ilvl w:val="1"/>
          <w:numId w:val="13"/>
        </w:numPr>
        <w:rPr>
          <w:lang w:val="en-GB"/>
        </w:rPr>
      </w:pPr>
      <w:r w:rsidRPr="003C6C72">
        <w:rPr>
          <w:lang w:val="en-GB"/>
        </w:rPr>
        <w:t>Pays-de-la-Loire</w:t>
      </w:r>
    </w:p>
    <w:p w14:paraId="2EC2D410" w14:textId="77777777" w:rsidR="003C6C72" w:rsidRDefault="003C6C72" w:rsidP="003C6C72">
      <w:pPr>
        <w:pStyle w:val="ListParagraph"/>
        <w:numPr>
          <w:ilvl w:val="1"/>
          <w:numId w:val="13"/>
        </w:numPr>
        <w:rPr>
          <w:lang w:val="en-GB"/>
        </w:rPr>
      </w:pPr>
      <w:r w:rsidRPr="003C6C72">
        <w:rPr>
          <w:lang w:val="en-GB"/>
        </w:rPr>
        <w:t>Provence-Alpes-Côte-d'Azur</w:t>
      </w:r>
    </w:p>
    <w:bookmarkEnd w:id="18"/>
    <w:p w14:paraId="648DA1EB" w14:textId="34C6193C" w:rsidR="00501F63" w:rsidRDefault="00501F63" w:rsidP="003C6C72">
      <w:pPr>
        <w:pStyle w:val="ListParagraph"/>
        <w:numPr>
          <w:ilvl w:val="0"/>
          <w:numId w:val="13"/>
        </w:numPr>
        <w:rPr>
          <w:lang w:val="en-GB"/>
        </w:rPr>
      </w:pPr>
      <w:r>
        <w:rPr>
          <w:lang w:val="en-GB"/>
        </w:rPr>
        <w:t>Germany:</w:t>
      </w:r>
    </w:p>
    <w:p w14:paraId="28899CE6" w14:textId="77777777" w:rsidR="00501F63" w:rsidRPr="00501F63" w:rsidRDefault="00501F63" w:rsidP="00501F63">
      <w:pPr>
        <w:pStyle w:val="ListParagraph"/>
        <w:numPr>
          <w:ilvl w:val="1"/>
          <w:numId w:val="13"/>
        </w:numPr>
        <w:rPr>
          <w:lang w:val="en-GB"/>
        </w:rPr>
      </w:pPr>
      <w:r w:rsidRPr="00501F63">
        <w:rPr>
          <w:lang w:val="en-GB"/>
        </w:rPr>
        <w:t>Baden-Württemberg</w:t>
      </w:r>
    </w:p>
    <w:p w14:paraId="4254E5F1" w14:textId="77777777" w:rsidR="00501F63" w:rsidRPr="00501F63" w:rsidRDefault="00501F63" w:rsidP="00501F63">
      <w:pPr>
        <w:pStyle w:val="ListParagraph"/>
        <w:numPr>
          <w:ilvl w:val="1"/>
          <w:numId w:val="13"/>
        </w:numPr>
        <w:rPr>
          <w:lang w:val="en-GB"/>
        </w:rPr>
      </w:pPr>
      <w:r w:rsidRPr="00501F63">
        <w:rPr>
          <w:lang w:val="en-GB"/>
        </w:rPr>
        <w:t>Bavaria</w:t>
      </w:r>
    </w:p>
    <w:p w14:paraId="4E0625D7" w14:textId="77777777" w:rsidR="00501F63" w:rsidRPr="00501F63" w:rsidRDefault="00501F63" w:rsidP="00501F63">
      <w:pPr>
        <w:pStyle w:val="ListParagraph"/>
        <w:numPr>
          <w:ilvl w:val="1"/>
          <w:numId w:val="13"/>
        </w:numPr>
        <w:rPr>
          <w:lang w:val="en-GB"/>
        </w:rPr>
      </w:pPr>
      <w:r w:rsidRPr="00501F63">
        <w:rPr>
          <w:lang w:val="en-GB"/>
        </w:rPr>
        <w:t>Berlin</w:t>
      </w:r>
    </w:p>
    <w:p w14:paraId="5CE69A65" w14:textId="77777777" w:rsidR="00501F63" w:rsidRPr="00501F63" w:rsidRDefault="00501F63" w:rsidP="00501F63">
      <w:pPr>
        <w:pStyle w:val="ListParagraph"/>
        <w:numPr>
          <w:ilvl w:val="1"/>
          <w:numId w:val="13"/>
        </w:numPr>
        <w:rPr>
          <w:lang w:val="en-GB"/>
        </w:rPr>
      </w:pPr>
      <w:r w:rsidRPr="00501F63">
        <w:rPr>
          <w:lang w:val="en-GB"/>
        </w:rPr>
        <w:t>Brandenburg</w:t>
      </w:r>
    </w:p>
    <w:p w14:paraId="15BE071C" w14:textId="77777777" w:rsidR="00501F63" w:rsidRPr="00501F63" w:rsidRDefault="00501F63" w:rsidP="00501F63">
      <w:pPr>
        <w:pStyle w:val="ListParagraph"/>
        <w:numPr>
          <w:ilvl w:val="1"/>
          <w:numId w:val="13"/>
        </w:numPr>
        <w:rPr>
          <w:lang w:val="en-GB"/>
        </w:rPr>
      </w:pPr>
      <w:r w:rsidRPr="00501F63">
        <w:rPr>
          <w:lang w:val="en-GB"/>
        </w:rPr>
        <w:t>Bremen</w:t>
      </w:r>
    </w:p>
    <w:p w14:paraId="36237EA9" w14:textId="77777777" w:rsidR="00501F63" w:rsidRPr="00501F63" w:rsidRDefault="00501F63" w:rsidP="00501F63">
      <w:pPr>
        <w:pStyle w:val="ListParagraph"/>
        <w:numPr>
          <w:ilvl w:val="1"/>
          <w:numId w:val="13"/>
        </w:numPr>
        <w:rPr>
          <w:lang w:val="en-GB"/>
        </w:rPr>
      </w:pPr>
      <w:r w:rsidRPr="00501F63">
        <w:rPr>
          <w:lang w:val="en-GB"/>
        </w:rPr>
        <w:t>Hamburg</w:t>
      </w:r>
    </w:p>
    <w:p w14:paraId="0ABEE9CC" w14:textId="77777777" w:rsidR="00501F63" w:rsidRPr="00501F63" w:rsidRDefault="00501F63" w:rsidP="00501F63">
      <w:pPr>
        <w:pStyle w:val="ListParagraph"/>
        <w:numPr>
          <w:ilvl w:val="1"/>
          <w:numId w:val="13"/>
        </w:numPr>
        <w:rPr>
          <w:lang w:val="en-GB"/>
        </w:rPr>
      </w:pPr>
      <w:r w:rsidRPr="00501F63">
        <w:rPr>
          <w:lang w:val="en-GB"/>
        </w:rPr>
        <w:t>Hesse</w:t>
      </w:r>
    </w:p>
    <w:p w14:paraId="591BE6C3" w14:textId="77777777" w:rsidR="00501F63" w:rsidRPr="00501F63" w:rsidRDefault="00501F63" w:rsidP="00501F63">
      <w:pPr>
        <w:pStyle w:val="ListParagraph"/>
        <w:numPr>
          <w:ilvl w:val="1"/>
          <w:numId w:val="13"/>
        </w:numPr>
        <w:rPr>
          <w:lang w:val="en-GB"/>
        </w:rPr>
      </w:pPr>
      <w:r w:rsidRPr="00501F63">
        <w:rPr>
          <w:lang w:val="en-GB"/>
        </w:rPr>
        <w:t>Mecklenburg-Western Pomerania</w:t>
      </w:r>
    </w:p>
    <w:p w14:paraId="1E70B4C3" w14:textId="77777777" w:rsidR="00501F63" w:rsidRPr="00501F63" w:rsidRDefault="00501F63" w:rsidP="00501F63">
      <w:pPr>
        <w:pStyle w:val="ListParagraph"/>
        <w:numPr>
          <w:ilvl w:val="1"/>
          <w:numId w:val="13"/>
        </w:numPr>
        <w:rPr>
          <w:lang w:val="en-GB"/>
        </w:rPr>
      </w:pPr>
      <w:r w:rsidRPr="00501F63">
        <w:rPr>
          <w:lang w:val="en-GB"/>
        </w:rPr>
        <w:t>Lower Saxony</w:t>
      </w:r>
    </w:p>
    <w:p w14:paraId="64D36239" w14:textId="77777777" w:rsidR="00501F63" w:rsidRPr="00501F63" w:rsidRDefault="00501F63" w:rsidP="00501F63">
      <w:pPr>
        <w:pStyle w:val="ListParagraph"/>
        <w:numPr>
          <w:ilvl w:val="1"/>
          <w:numId w:val="13"/>
        </w:numPr>
        <w:rPr>
          <w:lang w:val="en-GB"/>
        </w:rPr>
      </w:pPr>
      <w:r w:rsidRPr="00501F63">
        <w:rPr>
          <w:lang w:val="en-GB"/>
        </w:rPr>
        <w:t>North Rhine-Westphalia</w:t>
      </w:r>
    </w:p>
    <w:p w14:paraId="1C6C0631" w14:textId="77777777" w:rsidR="00501F63" w:rsidRPr="00501F63" w:rsidRDefault="00501F63" w:rsidP="00501F63">
      <w:pPr>
        <w:pStyle w:val="ListParagraph"/>
        <w:numPr>
          <w:ilvl w:val="1"/>
          <w:numId w:val="13"/>
        </w:numPr>
        <w:rPr>
          <w:lang w:val="en-GB"/>
        </w:rPr>
      </w:pPr>
      <w:r w:rsidRPr="00501F63">
        <w:rPr>
          <w:lang w:val="en-GB"/>
        </w:rPr>
        <w:t>Rhineland-Palatinate</w:t>
      </w:r>
    </w:p>
    <w:p w14:paraId="77364556" w14:textId="77777777" w:rsidR="00501F63" w:rsidRPr="00501F63" w:rsidRDefault="00501F63" w:rsidP="00501F63">
      <w:pPr>
        <w:pStyle w:val="ListParagraph"/>
        <w:numPr>
          <w:ilvl w:val="1"/>
          <w:numId w:val="13"/>
        </w:numPr>
        <w:rPr>
          <w:lang w:val="en-GB"/>
        </w:rPr>
      </w:pPr>
      <w:r w:rsidRPr="00501F63">
        <w:rPr>
          <w:lang w:val="en-GB"/>
        </w:rPr>
        <w:t>Saarland</w:t>
      </w:r>
    </w:p>
    <w:p w14:paraId="780EF5A4" w14:textId="77777777" w:rsidR="00501F63" w:rsidRPr="00501F63" w:rsidRDefault="00501F63" w:rsidP="00501F63">
      <w:pPr>
        <w:pStyle w:val="ListParagraph"/>
        <w:numPr>
          <w:ilvl w:val="1"/>
          <w:numId w:val="13"/>
        </w:numPr>
        <w:rPr>
          <w:lang w:val="en-GB"/>
        </w:rPr>
      </w:pPr>
      <w:r w:rsidRPr="00501F63">
        <w:rPr>
          <w:lang w:val="en-GB"/>
        </w:rPr>
        <w:t>Saxony</w:t>
      </w:r>
    </w:p>
    <w:p w14:paraId="70F28917" w14:textId="77777777" w:rsidR="00501F63" w:rsidRPr="00501F63" w:rsidRDefault="00501F63" w:rsidP="00501F63">
      <w:pPr>
        <w:pStyle w:val="ListParagraph"/>
        <w:numPr>
          <w:ilvl w:val="1"/>
          <w:numId w:val="13"/>
        </w:numPr>
        <w:rPr>
          <w:lang w:val="en-GB"/>
        </w:rPr>
      </w:pPr>
      <w:r w:rsidRPr="00501F63">
        <w:rPr>
          <w:lang w:val="en-GB"/>
        </w:rPr>
        <w:t>Saxony-Anhalt</w:t>
      </w:r>
    </w:p>
    <w:p w14:paraId="23822294" w14:textId="77777777" w:rsidR="00501F63" w:rsidRPr="00501F63" w:rsidRDefault="00501F63" w:rsidP="00501F63">
      <w:pPr>
        <w:pStyle w:val="ListParagraph"/>
        <w:numPr>
          <w:ilvl w:val="1"/>
          <w:numId w:val="13"/>
        </w:numPr>
        <w:rPr>
          <w:lang w:val="en-GB"/>
        </w:rPr>
      </w:pPr>
      <w:r w:rsidRPr="00501F63">
        <w:rPr>
          <w:lang w:val="en-GB"/>
        </w:rPr>
        <w:t>Schleswig-Holstein</w:t>
      </w:r>
    </w:p>
    <w:p w14:paraId="52755EE8" w14:textId="77777777" w:rsidR="00501F63" w:rsidRDefault="00501F63" w:rsidP="00501F63">
      <w:pPr>
        <w:pStyle w:val="ListParagraph"/>
        <w:numPr>
          <w:ilvl w:val="1"/>
          <w:numId w:val="13"/>
        </w:numPr>
        <w:rPr>
          <w:lang w:val="en-GB"/>
        </w:rPr>
      </w:pPr>
      <w:r w:rsidRPr="00501F63">
        <w:rPr>
          <w:lang w:val="en-GB"/>
        </w:rPr>
        <w:t>Thuringia</w:t>
      </w:r>
    </w:p>
    <w:p w14:paraId="7BC6CDA2" w14:textId="77777777" w:rsidR="00073A8E" w:rsidRDefault="00073A8E" w:rsidP="00073A8E">
      <w:pPr>
        <w:pStyle w:val="ListParagraph"/>
        <w:numPr>
          <w:ilvl w:val="0"/>
          <w:numId w:val="13"/>
        </w:numPr>
        <w:rPr>
          <w:lang w:val="en-GB"/>
        </w:rPr>
      </w:pPr>
      <w:r>
        <w:rPr>
          <w:lang w:val="en-GB"/>
        </w:rPr>
        <w:t>Greece:</w:t>
      </w:r>
    </w:p>
    <w:p w14:paraId="14CBBA83" w14:textId="77777777" w:rsidR="00073A8E" w:rsidRPr="00073A8E" w:rsidRDefault="00073A8E" w:rsidP="00073A8E">
      <w:pPr>
        <w:pStyle w:val="ListParagraph"/>
        <w:numPr>
          <w:ilvl w:val="1"/>
          <w:numId w:val="13"/>
        </w:numPr>
        <w:rPr>
          <w:lang w:val="en-GB"/>
        </w:rPr>
      </w:pPr>
      <w:r w:rsidRPr="00073A8E">
        <w:rPr>
          <w:lang w:val="en-GB"/>
        </w:rPr>
        <w:t xml:space="preserve">Aegean Islands    </w:t>
      </w:r>
    </w:p>
    <w:p w14:paraId="66BEF467" w14:textId="77777777" w:rsidR="00073A8E" w:rsidRPr="00073A8E" w:rsidRDefault="00073A8E" w:rsidP="00073A8E">
      <w:pPr>
        <w:pStyle w:val="ListParagraph"/>
        <w:numPr>
          <w:ilvl w:val="1"/>
          <w:numId w:val="13"/>
        </w:numPr>
        <w:rPr>
          <w:lang w:val="en-GB"/>
        </w:rPr>
      </w:pPr>
      <w:r w:rsidRPr="00073A8E">
        <w:rPr>
          <w:lang w:val="en-GB"/>
        </w:rPr>
        <w:t xml:space="preserve">Attica    </w:t>
      </w:r>
    </w:p>
    <w:p w14:paraId="46B2F1D4" w14:textId="77777777" w:rsidR="00073A8E" w:rsidRPr="00073A8E" w:rsidRDefault="00073A8E" w:rsidP="00073A8E">
      <w:pPr>
        <w:pStyle w:val="ListParagraph"/>
        <w:numPr>
          <w:ilvl w:val="1"/>
          <w:numId w:val="13"/>
        </w:numPr>
        <w:rPr>
          <w:lang w:val="en-GB"/>
        </w:rPr>
      </w:pPr>
      <w:r w:rsidRPr="00073A8E">
        <w:rPr>
          <w:lang w:val="en-GB"/>
        </w:rPr>
        <w:t xml:space="preserve">Central Greece    </w:t>
      </w:r>
    </w:p>
    <w:p w14:paraId="59F426C2" w14:textId="77777777" w:rsidR="00073A8E" w:rsidRPr="00073A8E" w:rsidRDefault="00073A8E" w:rsidP="00073A8E">
      <w:pPr>
        <w:pStyle w:val="ListParagraph"/>
        <w:numPr>
          <w:ilvl w:val="1"/>
          <w:numId w:val="13"/>
        </w:numPr>
        <w:rPr>
          <w:lang w:val="en-GB"/>
        </w:rPr>
      </w:pPr>
      <w:proofErr w:type="spellStart"/>
      <w:r w:rsidRPr="00073A8E">
        <w:rPr>
          <w:lang w:val="en-GB"/>
        </w:rPr>
        <w:t>Creta</w:t>
      </w:r>
      <w:proofErr w:type="spellEnd"/>
      <w:r w:rsidRPr="00073A8E">
        <w:rPr>
          <w:lang w:val="en-GB"/>
        </w:rPr>
        <w:t xml:space="preserve"> </w:t>
      </w:r>
    </w:p>
    <w:p w14:paraId="067FCB07" w14:textId="77777777" w:rsidR="00073A8E" w:rsidRPr="00073A8E" w:rsidRDefault="00073A8E" w:rsidP="00073A8E">
      <w:pPr>
        <w:pStyle w:val="ListParagraph"/>
        <w:numPr>
          <w:ilvl w:val="1"/>
          <w:numId w:val="13"/>
        </w:numPr>
        <w:rPr>
          <w:lang w:val="en-GB"/>
        </w:rPr>
      </w:pPr>
      <w:r w:rsidRPr="00073A8E">
        <w:rPr>
          <w:lang w:val="en-GB"/>
        </w:rPr>
        <w:t xml:space="preserve">Epirus    </w:t>
      </w:r>
    </w:p>
    <w:p w14:paraId="6F9C8A41" w14:textId="77777777" w:rsidR="00073A8E" w:rsidRPr="00073A8E" w:rsidRDefault="00073A8E" w:rsidP="00073A8E">
      <w:pPr>
        <w:pStyle w:val="ListParagraph"/>
        <w:numPr>
          <w:ilvl w:val="1"/>
          <w:numId w:val="13"/>
        </w:numPr>
        <w:rPr>
          <w:lang w:val="en-GB"/>
        </w:rPr>
      </w:pPr>
      <w:r w:rsidRPr="00073A8E">
        <w:rPr>
          <w:lang w:val="en-GB"/>
        </w:rPr>
        <w:t xml:space="preserve">Ionian Islands    </w:t>
      </w:r>
    </w:p>
    <w:p w14:paraId="6370E116" w14:textId="77777777" w:rsidR="00073A8E" w:rsidRPr="00073A8E" w:rsidRDefault="00073A8E" w:rsidP="00073A8E">
      <w:pPr>
        <w:pStyle w:val="ListParagraph"/>
        <w:numPr>
          <w:ilvl w:val="1"/>
          <w:numId w:val="13"/>
        </w:numPr>
        <w:rPr>
          <w:lang w:val="en-GB"/>
        </w:rPr>
      </w:pPr>
      <w:r w:rsidRPr="00073A8E">
        <w:rPr>
          <w:lang w:val="en-GB"/>
        </w:rPr>
        <w:t xml:space="preserve">Macedonia </w:t>
      </w:r>
    </w:p>
    <w:p w14:paraId="7C780465" w14:textId="77777777" w:rsidR="00073A8E" w:rsidRPr="00073A8E" w:rsidRDefault="00073A8E" w:rsidP="00073A8E">
      <w:pPr>
        <w:pStyle w:val="ListParagraph"/>
        <w:numPr>
          <w:ilvl w:val="1"/>
          <w:numId w:val="13"/>
        </w:numPr>
        <w:rPr>
          <w:lang w:val="en-GB"/>
        </w:rPr>
      </w:pPr>
      <w:r w:rsidRPr="00073A8E">
        <w:rPr>
          <w:lang w:val="en-GB"/>
        </w:rPr>
        <w:t xml:space="preserve">Peloponnese   </w:t>
      </w:r>
    </w:p>
    <w:p w14:paraId="234D9D1D" w14:textId="77777777" w:rsidR="00073A8E" w:rsidRPr="00073A8E" w:rsidRDefault="00073A8E" w:rsidP="00073A8E">
      <w:pPr>
        <w:pStyle w:val="ListParagraph"/>
        <w:numPr>
          <w:ilvl w:val="1"/>
          <w:numId w:val="13"/>
        </w:numPr>
        <w:rPr>
          <w:lang w:val="en-GB"/>
        </w:rPr>
      </w:pPr>
      <w:r w:rsidRPr="00073A8E">
        <w:rPr>
          <w:lang w:val="en-GB"/>
        </w:rPr>
        <w:t xml:space="preserve">Thessaloniki  </w:t>
      </w:r>
    </w:p>
    <w:p w14:paraId="73913647" w14:textId="77777777" w:rsidR="00073A8E" w:rsidRPr="00073A8E" w:rsidRDefault="00073A8E" w:rsidP="00073A8E">
      <w:pPr>
        <w:pStyle w:val="ListParagraph"/>
        <w:numPr>
          <w:ilvl w:val="1"/>
          <w:numId w:val="13"/>
        </w:numPr>
        <w:rPr>
          <w:lang w:val="en-GB"/>
        </w:rPr>
      </w:pPr>
      <w:r w:rsidRPr="00073A8E">
        <w:rPr>
          <w:lang w:val="en-GB"/>
        </w:rPr>
        <w:t xml:space="preserve">Thessaly  </w:t>
      </w:r>
    </w:p>
    <w:p w14:paraId="24DC2C58" w14:textId="77777777" w:rsidR="00073A8E" w:rsidRDefault="00073A8E" w:rsidP="00073A8E">
      <w:pPr>
        <w:pStyle w:val="ListParagraph"/>
        <w:numPr>
          <w:ilvl w:val="1"/>
          <w:numId w:val="13"/>
        </w:numPr>
        <w:rPr>
          <w:lang w:val="en-GB"/>
        </w:rPr>
      </w:pPr>
      <w:r w:rsidRPr="00073A8E">
        <w:rPr>
          <w:lang w:val="en-GB"/>
        </w:rPr>
        <w:t xml:space="preserve">Thrace </w:t>
      </w:r>
    </w:p>
    <w:p w14:paraId="2D9DEAD6" w14:textId="77777777" w:rsidR="00073A8E" w:rsidRDefault="00073A8E" w:rsidP="00073A8E">
      <w:pPr>
        <w:pStyle w:val="ListParagraph"/>
        <w:numPr>
          <w:ilvl w:val="0"/>
          <w:numId w:val="13"/>
        </w:numPr>
        <w:rPr>
          <w:lang w:val="en-GB"/>
        </w:rPr>
      </w:pPr>
      <w:r>
        <w:rPr>
          <w:lang w:val="en-GB"/>
        </w:rPr>
        <w:t>Ireland:</w:t>
      </w:r>
    </w:p>
    <w:p w14:paraId="1E46D66E" w14:textId="77777777" w:rsidR="00073A8E" w:rsidRPr="00073A8E" w:rsidRDefault="00073A8E" w:rsidP="00073A8E">
      <w:pPr>
        <w:pStyle w:val="ListParagraph"/>
        <w:numPr>
          <w:ilvl w:val="1"/>
          <w:numId w:val="13"/>
        </w:numPr>
        <w:rPr>
          <w:lang w:val="en-GB"/>
        </w:rPr>
      </w:pPr>
      <w:r w:rsidRPr="00073A8E">
        <w:rPr>
          <w:lang w:val="en-GB"/>
        </w:rPr>
        <w:lastRenderedPageBreak/>
        <w:t>Carlow</w:t>
      </w:r>
    </w:p>
    <w:p w14:paraId="1E9D06C4" w14:textId="77777777" w:rsidR="00073A8E" w:rsidRPr="00073A8E" w:rsidRDefault="00073A8E" w:rsidP="00073A8E">
      <w:pPr>
        <w:pStyle w:val="ListParagraph"/>
        <w:numPr>
          <w:ilvl w:val="1"/>
          <w:numId w:val="13"/>
        </w:numPr>
        <w:rPr>
          <w:lang w:val="en-GB"/>
        </w:rPr>
      </w:pPr>
      <w:r w:rsidRPr="00073A8E">
        <w:rPr>
          <w:lang w:val="en-GB"/>
        </w:rPr>
        <w:t>Cavan</w:t>
      </w:r>
    </w:p>
    <w:p w14:paraId="091947A7" w14:textId="77777777" w:rsidR="00073A8E" w:rsidRPr="00073A8E" w:rsidRDefault="00073A8E" w:rsidP="00073A8E">
      <w:pPr>
        <w:pStyle w:val="ListParagraph"/>
        <w:numPr>
          <w:ilvl w:val="1"/>
          <w:numId w:val="13"/>
        </w:numPr>
        <w:rPr>
          <w:lang w:val="en-GB"/>
        </w:rPr>
      </w:pPr>
      <w:r w:rsidRPr="00073A8E">
        <w:rPr>
          <w:lang w:val="en-GB"/>
        </w:rPr>
        <w:t>Clare</w:t>
      </w:r>
    </w:p>
    <w:p w14:paraId="29DE78DB" w14:textId="77777777" w:rsidR="00073A8E" w:rsidRPr="00073A8E" w:rsidRDefault="00073A8E" w:rsidP="00073A8E">
      <w:pPr>
        <w:pStyle w:val="ListParagraph"/>
        <w:numPr>
          <w:ilvl w:val="1"/>
          <w:numId w:val="13"/>
        </w:numPr>
        <w:rPr>
          <w:lang w:val="en-GB"/>
        </w:rPr>
      </w:pPr>
      <w:r w:rsidRPr="00073A8E">
        <w:rPr>
          <w:lang w:val="en-GB"/>
        </w:rPr>
        <w:t>Cork</w:t>
      </w:r>
    </w:p>
    <w:p w14:paraId="56CF4352" w14:textId="77777777" w:rsidR="00073A8E" w:rsidRPr="00073A8E" w:rsidRDefault="00073A8E" w:rsidP="00073A8E">
      <w:pPr>
        <w:pStyle w:val="ListParagraph"/>
        <w:numPr>
          <w:ilvl w:val="1"/>
          <w:numId w:val="13"/>
        </w:numPr>
        <w:rPr>
          <w:lang w:val="en-GB"/>
        </w:rPr>
      </w:pPr>
      <w:r w:rsidRPr="00073A8E">
        <w:rPr>
          <w:lang w:val="en-GB"/>
        </w:rPr>
        <w:t>Donegal</w:t>
      </w:r>
    </w:p>
    <w:p w14:paraId="685691DB" w14:textId="77777777" w:rsidR="00073A8E" w:rsidRPr="00073A8E" w:rsidRDefault="00073A8E" w:rsidP="00073A8E">
      <w:pPr>
        <w:pStyle w:val="ListParagraph"/>
        <w:numPr>
          <w:ilvl w:val="1"/>
          <w:numId w:val="13"/>
        </w:numPr>
        <w:rPr>
          <w:lang w:val="en-GB"/>
        </w:rPr>
      </w:pPr>
      <w:r w:rsidRPr="00073A8E">
        <w:rPr>
          <w:lang w:val="en-GB"/>
        </w:rPr>
        <w:t>Dublin</w:t>
      </w:r>
    </w:p>
    <w:p w14:paraId="5C265C11" w14:textId="77777777" w:rsidR="00073A8E" w:rsidRPr="00073A8E" w:rsidRDefault="00073A8E" w:rsidP="00073A8E">
      <w:pPr>
        <w:pStyle w:val="ListParagraph"/>
        <w:numPr>
          <w:ilvl w:val="1"/>
          <w:numId w:val="13"/>
        </w:numPr>
        <w:rPr>
          <w:lang w:val="en-GB"/>
        </w:rPr>
      </w:pPr>
      <w:r w:rsidRPr="00073A8E">
        <w:rPr>
          <w:lang w:val="en-GB"/>
        </w:rPr>
        <w:t>Galway</w:t>
      </w:r>
    </w:p>
    <w:p w14:paraId="46A6EC64" w14:textId="77777777" w:rsidR="00073A8E" w:rsidRPr="00073A8E" w:rsidRDefault="00073A8E" w:rsidP="00073A8E">
      <w:pPr>
        <w:pStyle w:val="ListParagraph"/>
        <w:numPr>
          <w:ilvl w:val="1"/>
          <w:numId w:val="13"/>
        </w:numPr>
        <w:rPr>
          <w:lang w:val="en-GB"/>
        </w:rPr>
      </w:pPr>
      <w:r w:rsidRPr="00073A8E">
        <w:rPr>
          <w:lang w:val="en-GB"/>
        </w:rPr>
        <w:t>Kerry</w:t>
      </w:r>
    </w:p>
    <w:p w14:paraId="0CC7879B" w14:textId="77777777" w:rsidR="00073A8E" w:rsidRPr="00073A8E" w:rsidRDefault="00073A8E" w:rsidP="00073A8E">
      <w:pPr>
        <w:pStyle w:val="ListParagraph"/>
        <w:numPr>
          <w:ilvl w:val="1"/>
          <w:numId w:val="13"/>
        </w:numPr>
        <w:rPr>
          <w:lang w:val="en-GB"/>
        </w:rPr>
      </w:pPr>
      <w:r w:rsidRPr="00073A8E">
        <w:rPr>
          <w:lang w:val="en-GB"/>
        </w:rPr>
        <w:t>Kildare</w:t>
      </w:r>
    </w:p>
    <w:p w14:paraId="5DA9FF87" w14:textId="77777777" w:rsidR="00073A8E" w:rsidRPr="00073A8E" w:rsidRDefault="00073A8E" w:rsidP="00073A8E">
      <w:pPr>
        <w:pStyle w:val="ListParagraph"/>
        <w:numPr>
          <w:ilvl w:val="1"/>
          <w:numId w:val="13"/>
        </w:numPr>
        <w:rPr>
          <w:lang w:val="en-GB"/>
        </w:rPr>
      </w:pPr>
      <w:r w:rsidRPr="00073A8E">
        <w:rPr>
          <w:lang w:val="en-GB"/>
        </w:rPr>
        <w:t>Kilkenny</w:t>
      </w:r>
    </w:p>
    <w:p w14:paraId="5DBCBD0D" w14:textId="77777777" w:rsidR="00073A8E" w:rsidRPr="00073A8E" w:rsidRDefault="00073A8E" w:rsidP="00073A8E">
      <w:pPr>
        <w:pStyle w:val="ListParagraph"/>
        <w:numPr>
          <w:ilvl w:val="1"/>
          <w:numId w:val="13"/>
        </w:numPr>
        <w:rPr>
          <w:lang w:val="en-GB"/>
        </w:rPr>
      </w:pPr>
      <w:r w:rsidRPr="00073A8E">
        <w:rPr>
          <w:lang w:val="en-GB"/>
        </w:rPr>
        <w:t>Laois</w:t>
      </w:r>
    </w:p>
    <w:p w14:paraId="2CAD81DA" w14:textId="77777777" w:rsidR="00073A8E" w:rsidRPr="00073A8E" w:rsidRDefault="00073A8E" w:rsidP="00073A8E">
      <w:pPr>
        <w:pStyle w:val="ListParagraph"/>
        <w:numPr>
          <w:ilvl w:val="1"/>
          <w:numId w:val="13"/>
        </w:numPr>
        <w:rPr>
          <w:lang w:val="en-GB"/>
        </w:rPr>
      </w:pPr>
      <w:r w:rsidRPr="00073A8E">
        <w:rPr>
          <w:lang w:val="en-GB"/>
        </w:rPr>
        <w:t>Leitrim</w:t>
      </w:r>
    </w:p>
    <w:p w14:paraId="175B51C7" w14:textId="77777777" w:rsidR="00073A8E" w:rsidRPr="00073A8E" w:rsidRDefault="00073A8E" w:rsidP="00073A8E">
      <w:pPr>
        <w:pStyle w:val="ListParagraph"/>
        <w:numPr>
          <w:ilvl w:val="1"/>
          <w:numId w:val="13"/>
        </w:numPr>
        <w:rPr>
          <w:lang w:val="en-GB"/>
        </w:rPr>
      </w:pPr>
      <w:r w:rsidRPr="00073A8E">
        <w:rPr>
          <w:lang w:val="en-GB"/>
        </w:rPr>
        <w:t>Limerick</w:t>
      </w:r>
    </w:p>
    <w:p w14:paraId="255D0102" w14:textId="77777777" w:rsidR="00073A8E" w:rsidRPr="00073A8E" w:rsidRDefault="00073A8E" w:rsidP="00073A8E">
      <w:pPr>
        <w:pStyle w:val="ListParagraph"/>
        <w:numPr>
          <w:ilvl w:val="1"/>
          <w:numId w:val="13"/>
        </w:numPr>
        <w:rPr>
          <w:lang w:val="en-GB"/>
        </w:rPr>
      </w:pPr>
      <w:r w:rsidRPr="00073A8E">
        <w:rPr>
          <w:lang w:val="en-GB"/>
        </w:rPr>
        <w:t>Longford</w:t>
      </w:r>
    </w:p>
    <w:p w14:paraId="7BFC68AA" w14:textId="77777777" w:rsidR="00073A8E" w:rsidRPr="00073A8E" w:rsidRDefault="00073A8E" w:rsidP="00073A8E">
      <w:pPr>
        <w:pStyle w:val="ListParagraph"/>
        <w:numPr>
          <w:ilvl w:val="1"/>
          <w:numId w:val="13"/>
        </w:numPr>
        <w:rPr>
          <w:lang w:val="en-GB"/>
        </w:rPr>
      </w:pPr>
      <w:r w:rsidRPr="00073A8E">
        <w:rPr>
          <w:lang w:val="en-GB"/>
        </w:rPr>
        <w:t>Louth</w:t>
      </w:r>
    </w:p>
    <w:p w14:paraId="1D4831C7" w14:textId="77777777" w:rsidR="00073A8E" w:rsidRPr="00073A8E" w:rsidRDefault="00073A8E" w:rsidP="00073A8E">
      <w:pPr>
        <w:pStyle w:val="ListParagraph"/>
        <w:numPr>
          <w:ilvl w:val="1"/>
          <w:numId w:val="13"/>
        </w:numPr>
        <w:rPr>
          <w:lang w:val="en-GB"/>
        </w:rPr>
      </w:pPr>
      <w:r w:rsidRPr="00073A8E">
        <w:rPr>
          <w:lang w:val="en-GB"/>
        </w:rPr>
        <w:t>Mayo</w:t>
      </w:r>
    </w:p>
    <w:p w14:paraId="75AA680C" w14:textId="77777777" w:rsidR="00073A8E" w:rsidRPr="00073A8E" w:rsidRDefault="00073A8E" w:rsidP="00073A8E">
      <w:pPr>
        <w:pStyle w:val="ListParagraph"/>
        <w:numPr>
          <w:ilvl w:val="1"/>
          <w:numId w:val="13"/>
        </w:numPr>
        <w:rPr>
          <w:lang w:val="en-GB"/>
        </w:rPr>
      </w:pPr>
      <w:r w:rsidRPr="00073A8E">
        <w:rPr>
          <w:lang w:val="en-GB"/>
        </w:rPr>
        <w:t>Meath</w:t>
      </w:r>
    </w:p>
    <w:p w14:paraId="25667C83" w14:textId="77777777" w:rsidR="00073A8E" w:rsidRPr="00073A8E" w:rsidRDefault="00073A8E" w:rsidP="00073A8E">
      <w:pPr>
        <w:pStyle w:val="ListParagraph"/>
        <w:numPr>
          <w:ilvl w:val="1"/>
          <w:numId w:val="13"/>
        </w:numPr>
        <w:rPr>
          <w:lang w:val="en-GB"/>
        </w:rPr>
      </w:pPr>
      <w:r w:rsidRPr="00073A8E">
        <w:rPr>
          <w:lang w:val="en-GB"/>
        </w:rPr>
        <w:t>Monaghan</w:t>
      </w:r>
    </w:p>
    <w:p w14:paraId="67C373A5" w14:textId="77777777" w:rsidR="00073A8E" w:rsidRPr="00073A8E" w:rsidRDefault="00073A8E" w:rsidP="00073A8E">
      <w:pPr>
        <w:pStyle w:val="ListParagraph"/>
        <w:numPr>
          <w:ilvl w:val="1"/>
          <w:numId w:val="13"/>
        </w:numPr>
        <w:rPr>
          <w:lang w:val="en-GB"/>
        </w:rPr>
      </w:pPr>
      <w:r w:rsidRPr="00073A8E">
        <w:rPr>
          <w:lang w:val="en-GB"/>
        </w:rPr>
        <w:t>Offaly</w:t>
      </w:r>
    </w:p>
    <w:p w14:paraId="50387AC6" w14:textId="77777777" w:rsidR="00073A8E" w:rsidRPr="00073A8E" w:rsidRDefault="00073A8E" w:rsidP="00073A8E">
      <w:pPr>
        <w:pStyle w:val="ListParagraph"/>
        <w:numPr>
          <w:ilvl w:val="1"/>
          <w:numId w:val="13"/>
        </w:numPr>
        <w:rPr>
          <w:lang w:val="en-GB"/>
        </w:rPr>
      </w:pPr>
      <w:r w:rsidRPr="00073A8E">
        <w:rPr>
          <w:lang w:val="en-GB"/>
        </w:rPr>
        <w:t>Roscommon</w:t>
      </w:r>
    </w:p>
    <w:p w14:paraId="21CAE51C" w14:textId="77777777" w:rsidR="00073A8E" w:rsidRPr="00073A8E" w:rsidRDefault="00073A8E" w:rsidP="00073A8E">
      <w:pPr>
        <w:pStyle w:val="ListParagraph"/>
        <w:numPr>
          <w:ilvl w:val="1"/>
          <w:numId w:val="13"/>
        </w:numPr>
        <w:rPr>
          <w:lang w:val="en-GB"/>
        </w:rPr>
      </w:pPr>
      <w:r w:rsidRPr="00073A8E">
        <w:rPr>
          <w:lang w:val="en-GB"/>
        </w:rPr>
        <w:t>Sligo</w:t>
      </w:r>
    </w:p>
    <w:p w14:paraId="7FC41B37" w14:textId="77777777" w:rsidR="00073A8E" w:rsidRPr="00073A8E" w:rsidRDefault="00073A8E" w:rsidP="00073A8E">
      <w:pPr>
        <w:pStyle w:val="ListParagraph"/>
        <w:numPr>
          <w:ilvl w:val="1"/>
          <w:numId w:val="13"/>
        </w:numPr>
        <w:rPr>
          <w:lang w:val="en-GB"/>
        </w:rPr>
      </w:pPr>
      <w:r w:rsidRPr="00073A8E">
        <w:rPr>
          <w:lang w:val="en-GB"/>
        </w:rPr>
        <w:t>Tipperary</w:t>
      </w:r>
    </w:p>
    <w:p w14:paraId="21550817" w14:textId="77777777" w:rsidR="00073A8E" w:rsidRPr="00073A8E" w:rsidRDefault="00073A8E" w:rsidP="00073A8E">
      <w:pPr>
        <w:pStyle w:val="ListParagraph"/>
        <w:numPr>
          <w:ilvl w:val="1"/>
          <w:numId w:val="13"/>
        </w:numPr>
        <w:rPr>
          <w:lang w:val="en-GB"/>
        </w:rPr>
      </w:pPr>
      <w:r w:rsidRPr="00073A8E">
        <w:rPr>
          <w:lang w:val="en-GB"/>
        </w:rPr>
        <w:t>Waterford</w:t>
      </w:r>
    </w:p>
    <w:p w14:paraId="56241E9D" w14:textId="77777777" w:rsidR="00073A8E" w:rsidRPr="00073A8E" w:rsidRDefault="00073A8E" w:rsidP="00073A8E">
      <w:pPr>
        <w:pStyle w:val="ListParagraph"/>
        <w:numPr>
          <w:ilvl w:val="1"/>
          <w:numId w:val="13"/>
        </w:numPr>
        <w:rPr>
          <w:lang w:val="en-GB"/>
        </w:rPr>
      </w:pPr>
      <w:r w:rsidRPr="00073A8E">
        <w:rPr>
          <w:lang w:val="en-GB"/>
        </w:rPr>
        <w:t>Westmeath</w:t>
      </w:r>
    </w:p>
    <w:p w14:paraId="42B75915" w14:textId="77777777" w:rsidR="00073A8E" w:rsidRPr="00073A8E" w:rsidRDefault="00073A8E" w:rsidP="00073A8E">
      <w:pPr>
        <w:pStyle w:val="ListParagraph"/>
        <w:numPr>
          <w:ilvl w:val="1"/>
          <w:numId w:val="13"/>
        </w:numPr>
        <w:rPr>
          <w:lang w:val="en-GB"/>
        </w:rPr>
      </w:pPr>
      <w:r w:rsidRPr="00073A8E">
        <w:rPr>
          <w:lang w:val="en-GB"/>
        </w:rPr>
        <w:t>Wexford</w:t>
      </w:r>
    </w:p>
    <w:p w14:paraId="0EE151A0" w14:textId="77777777" w:rsidR="00073A8E" w:rsidRDefault="00073A8E" w:rsidP="00073A8E">
      <w:pPr>
        <w:pStyle w:val="ListParagraph"/>
        <w:numPr>
          <w:ilvl w:val="1"/>
          <w:numId w:val="13"/>
        </w:numPr>
        <w:rPr>
          <w:lang w:val="en-GB"/>
        </w:rPr>
      </w:pPr>
      <w:r w:rsidRPr="00073A8E">
        <w:rPr>
          <w:lang w:val="en-GB"/>
        </w:rPr>
        <w:t>Wicklow</w:t>
      </w:r>
    </w:p>
    <w:p w14:paraId="7505162D" w14:textId="77777777" w:rsidR="00073A8E" w:rsidRDefault="00073A8E" w:rsidP="00073A8E">
      <w:pPr>
        <w:pStyle w:val="ListParagraph"/>
        <w:numPr>
          <w:ilvl w:val="0"/>
          <w:numId w:val="13"/>
        </w:numPr>
        <w:rPr>
          <w:lang w:val="en-GB"/>
        </w:rPr>
      </w:pPr>
      <w:r>
        <w:rPr>
          <w:lang w:val="en-GB"/>
        </w:rPr>
        <w:t>Italy:</w:t>
      </w:r>
    </w:p>
    <w:p w14:paraId="5F30BF3F" w14:textId="77777777" w:rsidR="00073A8E" w:rsidRPr="00073A8E" w:rsidRDefault="00073A8E" w:rsidP="00073A8E">
      <w:pPr>
        <w:pStyle w:val="ListParagraph"/>
        <w:numPr>
          <w:ilvl w:val="1"/>
          <w:numId w:val="13"/>
        </w:numPr>
        <w:rPr>
          <w:lang w:val="en-GB"/>
        </w:rPr>
      </w:pPr>
      <w:r w:rsidRPr="00073A8E">
        <w:rPr>
          <w:lang w:val="en-GB"/>
        </w:rPr>
        <w:t>Abruzzo</w:t>
      </w:r>
    </w:p>
    <w:p w14:paraId="6C25BA50" w14:textId="77777777" w:rsidR="00073A8E" w:rsidRPr="00073A8E" w:rsidRDefault="00073A8E" w:rsidP="00073A8E">
      <w:pPr>
        <w:pStyle w:val="ListParagraph"/>
        <w:numPr>
          <w:ilvl w:val="1"/>
          <w:numId w:val="13"/>
        </w:numPr>
        <w:rPr>
          <w:lang w:val="en-GB"/>
        </w:rPr>
      </w:pPr>
      <w:r w:rsidRPr="00073A8E">
        <w:rPr>
          <w:lang w:val="en-GB"/>
        </w:rPr>
        <w:t>Basilicata</w:t>
      </w:r>
    </w:p>
    <w:p w14:paraId="7E697483" w14:textId="77777777" w:rsidR="00073A8E" w:rsidRPr="00073A8E" w:rsidRDefault="00073A8E" w:rsidP="00073A8E">
      <w:pPr>
        <w:pStyle w:val="ListParagraph"/>
        <w:numPr>
          <w:ilvl w:val="1"/>
          <w:numId w:val="13"/>
        </w:numPr>
        <w:rPr>
          <w:lang w:val="en-GB"/>
        </w:rPr>
      </w:pPr>
      <w:r w:rsidRPr="00073A8E">
        <w:rPr>
          <w:lang w:val="en-GB"/>
        </w:rPr>
        <w:t>Calabria</w:t>
      </w:r>
    </w:p>
    <w:p w14:paraId="2EA7C3B2" w14:textId="77777777" w:rsidR="00073A8E" w:rsidRPr="00073A8E" w:rsidRDefault="00073A8E" w:rsidP="00073A8E">
      <w:pPr>
        <w:pStyle w:val="ListParagraph"/>
        <w:numPr>
          <w:ilvl w:val="1"/>
          <w:numId w:val="13"/>
        </w:numPr>
        <w:rPr>
          <w:lang w:val="en-GB"/>
        </w:rPr>
      </w:pPr>
      <w:r w:rsidRPr="00073A8E">
        <w:rPr>
          <w:lang w:val="en-GB"/>
        </w:rPr>
        <w:t>Campania</w:t>
      </w:r>
    </w:p>
    <w:p w14:paraId="750B521C" w14:textId="77777777" w:rsidR="00073A8E" w:rsidRPr="00073A8E" w:rsidRDefault="00073A8E" w:rsidP="00073A8E">
      <w:pPr>
        <w:pStyle w:val="ListParagraph"/>
        <w:numPr>
          <w:ilvl w:val="1"/>
          <w:numId w:val="13"/>
        </w:numPr>
        <w:rPr>
          <w:lang w:val="en-GB"/>
        </w:rPr>
      </w:pPr>
      <w:r w:rsidRPr="00073A8E">
        <w:rPr>
          <w:lang w:val="en-GB"/>
        </w:rPr>
        <w:t xml:space="preserve">Emilia </w:t>
      </w:r>
      <w:r>
        <w:rPr>
          <w:lang w:val="en-GB"/>
        </w:rPr>
        <w:t>R</w:t>
      </w:r>
      <w:r w:rsidRPr="00073A8E">
        <w:rPr>
          <w:lang w:val="en-GB"/>
        </w:rPr>
        <w:t>omagna</w:t>
      </w:r>
    </w:p>
    <w:p w14:paraId="4E5A0331" w14:textId="77777777" w:rsidR="00073A8E" w:rsidRPr="00073A8E" w:rsidRDefault="00073A8E" w:rsidP="00073A8E">
      <w:pPr>
        <w:pStyle w:val="ListParagraph"/>
        <w:numPr>
          <w:ilvl w:val="1"/>
          <w:numId w:val="13"/>
        </w:numPr>
        <w:rPr>
          <w:lang w:val="en-GB"/>
        </w:rPr>
      </w:pPr>
      <w:r w:rsidRPr="00073A8E">
        <w:rPr>
          <w:lang w:val="en-GB"/>
        </w:rPr>
        <w:t xml:space="preserve">Friuli </w:t>
      </w:r>
      <w:r>
        <w:rPr>
          <w:lang w:val="en-GB"/>
        </w:rPr>
        <w:t>V</w:t>
      </w:r>
      <w:r w:rsidRPr="00073A8E">
        <w:rPr>
          <w:lang w:val="en-GB"/>
        </w:rPr>
        <w:t xml:space="preserve">enezia </w:t>
      </w:r>
      <w:r>
        <w:rPr>
          <w:lang w:val="en-GB"/>
        </w:rPr>
        <w:t>G</w:t>
      </w:r>
      <w:r w:rsidRPr="00073A8E">
        <w:rPr>
          <w:lang w:val="en-GB"/>
        </w:rPr>
        <w:t>iulia</w:t>
      </w:r>
    </w:p>
    <w:p w14:paraId="6E3954ED" w14:textId="77777777" w:rsidR="00073A8E" w:rsidRPr="00073A8E" w:rsidRDefault="00073A8E" w:rsidP="00073A8E">
      <w:pPr>
        <w:pStyle w:val="ListParagraph"/>
        <w:numPr>
          <w:ilvl w:val="1"/>
          <w:numId w:val="13"/>
        </w:numPr>
        <w:rPr>
          <w:lang w:val="en-GB"/>
        </w:rPr>
      </w:pPr>
      <w:r w:rsidRPr="00073A8E">
        <w:rPr>
          <w:lang w:val="en-GB"/>
        </w:rPr>
        <w:t>Lazio</w:t>
      </w:r>
    </w:p>
    <w:p w14:paraId="287BF80B" w14:textId="77777777" w:rsidR="00073A8E" w:rsidRPr="00073A8E" w:rsidRDefault="00073A8E" w:rsidP="00073A8E">
      <w:pPr>
        <w:pStyle w:val="ListParagraph"/>
        <w:numPr>
          <w:ilvl w:val="1"/>
          <w:numId w:val="13"/>
        </w:numPr>
        <w:rPr>
          <w:lang w:val="en-GB"/>
        </w:rPr>
      </w:pPr>
      <w:r w:rsidRPr="00073A8E">
        <w:rPr>
          <w:lang w:val="en-GB"/>
        </w:rPr>
        <w:t>Liguria</w:t>
      </w:r>
    </w:p>
    <w:p w14:paraId="36E77FDC" w14:textId="77777777" w:rsidR="00073A8E" w:rsidRPr="00073A8E" w:rsidRDefault="00073A8E" w:rsidP="00073A8E">
      <w:pPr>
        <w:pStyle w:val="ListParagraph"/>
        <w:numPr>
          <w:ilvl w:val="1"/>
          <w:numId w:val="13"/>
        </w:numPr>
        <w:rPr>
          <w:lang w:val="en-GB"/>
        </w:rPr>
      </w:pPr>
      <w:proofErr w:type="spellStart"/>
      <w:r w:rsidRPr="00073A8E">
        <w:rPr>
          <w:lang w:val="en-GB"/>
        </w:rPr>
        <w:t>Lombardia</w:t>
      </w:r>
      <w:proofErr w:type="spellEnd"/>
    </w:p>
    <w:p w14:paraId="6A20E7CC" w14:textId="77777777" w:rsidR="00073A8E" w:rsidRPr="00073A8E" w:rsidRDefault="00073A8E" w:rsidP="00073A8E">
      <w:pPr>
        <w:pStyle w:val="ListParagraph"/>
        <w:numPr>
          <w:ilvl w:val="1"/>
          <w:numId w:val="13"/>
        </w:numPr>
        <w:rPr>
          <w:lang w:val="en-GB"/>
        </w:rPr>
      </w:pPr>
      <w:r w:rsidRPr="00073A8E">
        <w:rPr>
          <w:lang w:val="en-GB"/>
        </w:rPr>
        <w:t>Marche</w:t>
      </w:r>
    </w:p>
    <w:p w14:paraId="0B6964E3" w14:textId="77777777" w:rsidR="00073A8E" w:rsidRPr="00073A8E" w:rsidRDefault="00073A8E" w:rsidP="00073A8E">
      <w:pPr>
        <w:pStyle w:val="ListParagraph"/>
        <w:numPr>
          <w:ilvl w:val="1"/>
          <w:numId w:val="13"/>
        </w:numPr>
        <w:rPr>
          <w:lang w:val="en-GB"/>
        </w:rPr>
      </w:pPr>
      <w:r w:rsidRPr="00073A8E">
        <w:rPr>
          <w:lang w:val="en-GB"/>
        </w:rPr>
        <w:t>Molise</w:t>
      </w:r>
    </w:p>
    <w:p w14:paraId="655021E5" w14:textId="77777777" w:rsidR="00073A8E" w:rsidRPr="00073A8E" w:rsidRDefault="00073A8E" w:rsidP="00073A8E">
      <w:pPr>
        <w:pStyle w:val="ListParagraph"/>
        <w:numPr>
          <w:ilvl w:val="1"/>
          <w:numId w:val="13"/>
        </w:numPr>
        <w:rPr>
          <w:lang w:val="en-GB"/>
        </w:rPr>
      </w:pPr>
      <w:r w:rsidRPr="00073A8E">
        <w:rPr>
          <w:lang w:val="en-GB"/>
        </w:rPr>
        <w:t>Piemonte</w:t>
      </w:r>
    </w:p>
    <w:p w14:paraId="4E312854" w14:textId="77777777" w:rsidR="00073A8E" w:rsidRPr="00073A8E" w:rsidRDefault="00073A8E" w:rsidP="00073A8E">
      <w:pPr>
        <w:pStyle w:val="ListParagraph"/>
        <w:numPr>
          <w:ilvl w:val="1"/>
          <w:numId w:val="13"/>
        </w:numPr>
        <w:rPr>
          <w:lang w:val="en-GB"/>
        </w:rPr>
      </w:pPr>
      <w:r w:rsidRPr="00073A8E">
        <w:rPr>
          <w:lang w:val="en-GB"/>
        </w:rPr>
        <w:t>Puglia</w:t>
      </w:r>
    </w:p>
    <w:p w14:paraId="4EE50C0F" w14:textId="77777777" w:rsidR="00073A8E" w:rsidRPr="00073A8E" w:rsidRDefault="00073A8E" w:rsidP="00073A8E">
      <w:pPr>
        <w:pStyle w:val="ListParagraph"/>
        <w:numPr>
          <w:ilvl w:val="1"/>
          <w:numId w:val="13"/>
        </w:numPr>
        <w:rPr>
          <w:lang w:val="en-GB"/>
        </w:rPr>
      </w:pPr>
      <w:proofErr w:type="spellStart"/>
      <w:r w:rsidRPr="00073A8E">
        <w:rPr>
          <w:lang w:val="en-GB"/>
        </w:rPr>
        <w:t>Sardegna</w:t>
      </w:r>
      <w:proofErr w:type="spellEnd"/>
    </w:p>
    <w:p w14:paraId="440C8AB8" w14:textId="77777777" w:rsidR="00073A8E" w:rsidRPr="00073A8E" w:rsidRDefault="00073A8E" w:rsidP="00073A8E">
      <w:pPr>
        <w:pStyle w:val="ListParagraph"/>
        <w:numPr>
          <w:ilvl w:val="1"/>
          <w:numId w:val="13"/>
        </w:numPr>
        <w:rPr>
          <w:lang w:val="en-GB"/>
        </w:rPr>
      </w:pPr>
      <w:r w:rsidRPr="00073A8E">
        <w:rPr>
          <w:lang w:val="en-GB"/>
        </w:rPr>
        <w:t>Sicilia</w:t>
      </w:r>
    </w:p>
    <w:p w14:paraId="30328492" w14:textId="77777777" w:rsidR="00073A8E" w:rsidRPr="00073A8E" w:rsidRDefault="00073A8E" w:rsidP="00073A8E">
      <w:pPr>
        <w:pStyle w:val="ListParagraph"/>
        <w:numPr>
          <w:ilvl w:val="1"/>
          <w:numId w:val="13"/>
        </w:numPr>
        <w:rPr>
          <w:lang w:val="en-GB"/>
        </w:rPr>
      </w:pPr>
      <w:r w:rsidRPr="00073A8E">
        <w:rPr>
          <w:lang w:val="en-GB"/>
        </w:rPr>
        <w:t>Toscana</w:t>
      </w:r>
    </w:p>
    <w:p w14:paraId="1D1492B5" w14:textId="77777777" w:rsidR="00073A8E" w:rsidRPr="00073A8E" w:rsidRDefault="00073A8E" w:rsidP="00073A8E">
      <w:pPr>
        <w:pStyle w:val="ListParagraph"/>
        <w:numPr>
          <w:ilvl w:val="1"/>
          <w:numId w:val="13"/>
        </w:numPr>
        <w:rPr>
          <w:lang w:val="en-GB"/>
        </w:rPr>
      </w:pPr>
      <w:r w:rsidRPr="00073A8E">
        <w:rPr>
          <w:lang w:val="en-GB"/>
        </w:rPr>
        <w:t xml:space="preserve">Trentino </w:t>
      </w:r>
      <w:r>
        <w:rPr>
          <w:lang w:val="en-GB"/>
        </w:rPr>
        <w:t>A</w:t>
      </w:r>
      <w:r w:rsidRPr="00073A8E">
        <w:rPr>
          <w:lang w:val="en-GB"/>
        </w:rPr>
        <w:t xml:space="preserve">lto </w:t>
      </w:r>
      <w:r>
        <w:rPr>
          <w:lang w:val="en-GB"/>
        </w:rPr>
        <w:t>A</w:t>
      </w:r>
      <w:r w:rsidRPr="00073A8E">
        <w:rPr>
          <w:lang w:val="en-GB"/>
        </w:rPr>
        <w:t>dige</w:t>
      </w:r>
    </w:p>
    <w:p w14:paraId="394CF00A" w14:textId="77777777" w:rsidR="00073A8E" w:rsidRPr="00073A8E" w:rsidRDefault="00073A8E" w:rsidP="00073A8E">
      <w:pPr>
        <w:pStyle w:val="ListParagraph"/>
        <w:numPr>
          <w:ilvl w:val="1"/>
          <w:numId w:val="13"/>
        </w:numPr>
        <w:rPr>
          <w:lang w:val="en-GB"/>
        </w:rPr>
      </w:pPr>
      <w:r w:rsidRPr="00073A8E">
        <w:rPr>
          <w:lang w:val="en-GB"/>
        </w:rPr>
        <w:t>Umbria</w:t>
      </w:r>
    </w:p>
    <w:p w14:paraId="57A171A5" w14:textId="77777777" w:rsidR="00073A8E" w:rsidRPr="00073A8E" w:rsidRDefault="00073A8E" w:rsidP="00073A8E">
      <w:pPr>
        <w:pStyle w:val="ListParagraph"/>
        <w:numPr>
          <w:ilvl w:val="1"/>
          <w:numId w:val="13"/>
        </w:numPr>
        <w:rPr>
          <w:lang w:val="en-GB"/>
        </w:rPr>
      </w:pPr>
      <w:r w:rsidRPr="00073A8E">
        <w:rPr>
          <w:lang w:val="en-GB"/>
        </w:rPr>
        <w:t>Valle d'</w:t>
      </w:r>
      <w:r>
        <w:rPr>
          <w:lang w:val="en-GB"/>
        </w:rPr>
        <w:t>A</w:t>
      </w:r>
      <w:r w:rsidRPr="00073A8E">
        <w:rPr>
          <w:lang w:val="en-GB"/>
        </w:rPr>
        <w:t>osta</w:t>
      </w:r>
    </w:p>
    <w:p w14:paraId="6791A1C1" w14:textId="77777777" w:rsidR="00073A8E" w:rsidRDefault="00073A8E" w:rsidP="00073A8E">
      <w:pPr>
        <w:pStyle w:val="ListParagraph"/>
        <w:numPr>
          <w:ilvl w:val="1"/>
          <w:numId w:val="13"/>
        </w:numPr>
        <w:rPr>
          <w:lang w:val="en-GB"/>
        </w:rPr>
      </w:pPr>
      <w:r w:rsidRPr="00073A8E">
        <w:rPr>
          <w:lang w:val="en-GB"/>
        </w:rPr>
        <w:t>Veneto</w:t>
      </w:r>
    </w:p>
    <w:p w14:paraId="58F748A5" w14:textId="77777777" w:rsidR="00073A8E" w:rsidRDefault="00073A8E" w:rsidP="00073A8E">
      <w:pPr>
        <w:pStyle w:val="ListParagraph"/>
        <w:numPr>
          <w:ilvl w:val="0"/>
          <w:numId w:val="13"/>
        </w:numPr>
        <w:rPr>
          <w:lang w:val="en-GB"/>
        </w:rPr>
      </w:pPr>
      <w:r>
        <w:rPr>
          <w:lang w:val="en-GB"/>
        </w:rPr>
        <w:t>Netherlands:</w:t>
      </w:r>
    </w:p>
    <w:p w14:paraId="21AAD27C" w14:textId="77777777" w:rsidR="00073A8E" w:rsidRPr="00073A8E" w:rsidRDefault="00073A8E" w:rsidP="00073A8E">
      <w:pPr>
        <w:pStyle w:val="ListParagraph"/>
        <w:numPr>
          <w:ilvl w:val="1"/>
          <w:numId w:val="13"/>
        </w:numPr>
        <w:rPr>
          <w:lang w:val="en-GB"/>
        </w:rPr>
      </w:pPr>
      <w:r w:rsidRPr="00073A8E">
        <w:rPr>
          <w:lang w:val="en-GB"/>
        </w:rPr>
        <w:t>Brabant</w:t>
      </w:r>
    </w:p>
    <w:p w14:paraId="3159B225" w14:textId="77777777" w:rsidR="00073A8E" w:rsidRPr="00073A8E" w:rsidRDefault="00073A8E" w:rsidP="00073A8E">
      <w:pPr>
        <w:pStyle w:val="ListParagraph"/>
        <w:numPr>
          <w:ilvl w:val="1"/>
          <w:numId w:val="13"/>
        </w:numPr>
        <w:rPr>
          <w:lang w:val="en-GB"/>
        </w:rPr>
      </w:pPr>
      <w:r w:rsidRPr="00073A8E">
        <w:rPr>
          <w:lang w:val="en-GB"/>
        </w:rPr>
        <w:t>Drenthe</w:t>
      </w:r>
    </w:p>
    <w:p w14:paraId="5913F9C6" w14:textId="77777777" w:rsidR="00073A8E" w:rsidRPr="00073A8E" w:rsidRDefault="00073A8E" w:rsidP="00073A8E">
      <w:pPr>
        <w:pStyle w:val="ListParagraph"/>
        <w:numPr>
          <w:ilvl w:val="1"/>
          <w:numId w:val="13"/>
        </w:numPr>
        <w:rPr>
          <w:lang w:val="en-GB"/>
        </w:rPr>
      </w:pPr>
      <w:r w:rsidRPr="00073A8E">
        <w:rPr>
          <w:lang w:val="en-GB"/>
        </w:rPr>
        <w:t>Flevoland</w:t>
      </w:r>
    </w:p>
    <w:p w14:paraId="6E6213F1" w14:textId="77777777" w:rsidR="00073A8E" w:rsidRPr="00073A8E" w:rsidRDefault="00073A8E" w:rsidP="00073A8E">
      <w:pPr>
        <w:pStyle w:val="ListParagraph"/>
        <w:numPr>
          <w:ilvl w:val="1"/>
          <w:numId w:val="13"/>
        </w:numPr>
        <w:rPr>
          <w:lang w:val="en-GB"/>
        </w:rPr>
      </w:pPr>
      <w:r w:rsidRPr="00073A8E">
        <w:rPr>
          <w:lang w:val="en-GB"/>
        </w:rPr>
        <w:t>Friesland</w:t>
      </w:r>
    </w:p>
    <w:p w14:paraId="43A3FDC9" w14:textId="77777777" w:rsidR="00073A8E" w:rsidRPr="00073A8E" w:rsidRDefault="00073A8E" w:rsidP="00073A8E">
      <w:pPr>
        <w:pStyle w:val="ListParagraph"/>
        <w:numPr>
          <w:ilvl w:val="1"/>
          <w:numId w:val="13"/>
        </w:numPr>
        <w:rPr>
          <w:lang w:val="en-GB"/>
        </w:rPr>
      </w:pPr>
      <w:r w:rsidRPr="00073A8E">
        <w:rPr>
          <w:lang w:val="en-GB"/>
        </w:rPr>
        <w:t>Gelderland</w:t>
      </w:r>
    </w:p>
    <w:p w14:paraId="054BDDF7" w14:textId="77777777" w:rsidR="00073A8E" w:rsidRPr="00073A8E" w:rsidRDefault="00073A8E" w:rsidP="00073A8E">
      <w:pPr>
        <w:pStyle w:val="ListParagraph"/>
        <w:numPr>
          <w:ilvl w:val="1"/>
          <w:numId w:val="13"/>
        </w:numPr>
        <w:rPr>
          <w:lang w:val="en-GB"/>
        </w:rPr>
      </w:pPr>
      <w:r w:rsidRPr="00073A8E">
        <w:rPr>
          <w:lang w:val="en-GB"/>
        </w:rPr>
        <w:t>Groningen</w:t>
      </w:r>
    </w:p>
    <w:p w14:paraId="4A8F0D51" w14:textId="77777777" w:rsidR="00073A8E" w:rsidRPr="00073A8E" w:rsidRDefault="00073A8E" w:rsidP="00073A8E">
      <w:pPr>
        <w:pStyle w:val="ListParagraph"/>
        <w:numPr>
          <w:ilvl w:val="1"/>
          <w:numId w:val="13"/>
        </w:numPr>
        <w:rPr>
          <w:lang w:val="en-GB"/>
        </w:rPr>
      </w:pPr>
      <w:r w:rsidRPr="00073A8E">
        <w:rPr>
          <w:lang w:val="en-GB"/>
        </w:rPr>
        <w:t>Limburg</w:t>
      </w:r>
    </w:p>
    <w:p w14:paraId="6CFECC4B" w14:textId="77777777" w:rsidR="00073A8E" w:rsidRPr="00073A8E" w:rsidRDefault="00073A8E" w:rsidP="00073A8E">
      <w:pPr>
        <w:pStyle w:val="ListParagraph"/>
        <w:numPr>
          <w:ilvl w:val="1"/>
          <w:numId w:val="13"/>
        </w:numPr>
        <w:rPr>
          <w:lang w:val="en-GB"/>
        </w:rPr>
      </w:pPr>
      <w:r w:rsidRPr="00073A8E">
        <w:rPr>
          <w:lang w:val="en-GB"/>
        </w:rPr>
        <w:t>Noord-Holland</w:t>
      </w:r>
    </w:p>
    <w:p w14:paraId="05F03A5B" w14:textId="77777777" w:rsidR="00073A8E" w:rsidRPr="00073A8E" w:rsidRDefault="00073A8E" w:rsidP="00073A8E">
      <w:pPr>
        <w:pStyle w:val="ListParagraph"/>
        <w:numPr>
          <w:ilvl w:val="1"/>
          <w:numId w:val="13"/>
        </w:numPr>
        <w:rPr>
          <w:lang w:val="en-GB"/>
        </w:rPr>
      </w:pPr>
      <w:proofErr w:type="spellStart"/>
      <w:r w:rsidRPr="00073A8E">
        <w:rPr>
          <w:lang w:val="en-GB"/>
        </w:rPr>
        <w:t>Overijssel</w:t>
      </w:r>
      <w:proofErr w:type="spellEnd"/>
    </w:p>
    <w:p w14:paraId="6BFB781E" w14:textId="77777777" w:rsidR="00073A8E" w:rsidRPr="00073A8E" w:rsidRDefault="00073A8E" w:rsidP="00073A8E">
      <w:pPr>
        <w:pStyle w:val="ListParagraph"/>
        <w:numPr>
          <w:ilvl w:val="1"/>
          <w:numId w:val="13"/>
        </w:numPr>
        <w:rPr>
          <w:lang w:val="en-GB"/>
        </w:rPr>
      </w:pPr>
      <w:r w:rsidRPr="00073A8E">
        <w:rPr>
          <w:lang w:val="en-GB"/>
        </w:rPr>
        <w:t>Utrecht</w:t>
      </w:r>
    </w:p>
    <w:p w14:paraId="293C068B" w14:textId="77777777" w:rsidR="00073A8E" w:rsidRPr="00073A8E" w:rsidRDefault="00073A8E" w:rsidP="00073A8E">
      <w:pPr>
        <w:pStyle w:val="ListParagraph"/>
        <w:numPr>
          <w:ilvl w:val="1"/>
          <w:numId w:val="13"/>
        </w:numPr>
        <w:rPr>
          <w:lang w:val="en-GB"/>
        </w:rPr>
      </w:pPr>
      <w:r w:rsidRPr="00073A8E">
        <w:rPr>
          <w:lang w:val="en-GB"/>
        </w:rPr>
        <w:t>Zeeland</w:t>
      </w:r>
    </w:p>
    <w:p w14:paraId="7ED3CED8" w14:textId="77777777" w:rsidR="00073A8E" w:rsidRDefault="00073A8E" w:rsidP="00073A8E">
      <w:pPr>
        <w:pStyle w:val="ListParagraph"/>
        <w:numPr>
          <w:ilvl w:val="1"/>
          <w:numId w:val="13"/>
        </w:numPr>
        <w:rPr>
          <w:lang w:val="en-GB"/>
        </w:rPr>
      </w:pPr>
      <w:r w:rsidRPr="00073A8E">
        <w:rPr>
          <w:lang w:val="en-GB"/>
        </w:rPr>
        <w:t>Zuid-Holland</w:t>
      </w:r>
    </w:p>
    <w:p w14:paraId="1EB33832" w14:textId="77777777" w:rsidR="00073A8E" w:rsidRDefault="00073A8E" w:rsidP="00073A8E">
      <w:pPr>
        <w:pStyle w:val="ListParagraph"/>
        <w:numPr>
          <w:ilvl w:val="0"/>
          <w:numId w:val="13"/>
        </w:numPr>
        <w:rPr>
          <w:lang w:val="en-GB"/>
        </w:rPr>
      </w:pPr>
      <w:r>
        <w:rPr>
          <w:lang w:val="en-GB"/>
        </w:rPr>
        <w:t>Norway:</w:t>
      </w:r>
    </w:p>
    <w:p w14:paraId="5C7F963A" w14:textId="77777777" w:rsidR="00073A8E" w:rsidRPr="00073A8E" w:rsidRDefault="00073A8E" w:rsidP="00073A8E">
      <w:pPr>
        <w:pStyle w:val="ListParagraph"/>
        <w:numPr>
          <w:ilvl w:val="1"/>
          <w:numId w:val="13"/>
        </w:numPr>
        <w:rPr>
          <w:lang w:val="en-GB"/>
        </w:rPr>
      </w:pPr>
      <w:proofErr w:type="spellStart"/>
      <w:r w:rsidRPr="00073A8E">
        <w:rPr>
          <w:lang w:val="en-GB"/>
        </w:rPr>
        <w:t>Akershus</w:t>
      </w:r>
      <w:proofErr w:type="spellEnd"/>
    </w:p>
    <w:p w14:paraId="25B31486" w14:textId="77777777" w:rsidR="00073A8E" w:rsidRPr="00073A8E" w:rsidRDefault="00073A8E" w:rsidP="00073A8E">
      <w:pPr>
        <w:pStyle w:val="ListParagraph"/>
        <w:numPr>
          <w:ilvl w:val="1"/>
          <w:numId w:val="13"/>
        </w:numPr>
        <w:rPr>
          <w:lang w:val="en-GB"/>
        </w:rPr>
      </w:pPr>
      <w:r w:rsidRPr="00073A8E">
        <w:rPr>
          <w:lang w:val="en-GB"/>
        </w:rPr>
        <w:t>Aust-Agder</w:t>
      </w:r>
    </w:p>
    <w:p w14:paraId="62273045" w14:textId="77777777" w:rsidR="00073A8E" w:rsidRPr="00073A8E" w:rsidRDefault="00073A8E" w:rsidP="00073A8E">
      <w:pPr>
        <w:pStyle w:val="ListParagraph"/>
        <w:numPr>
          <w:ilvl w:val="1"/>
          <w:numId w:val="13"/>
        </w:numPr>
        <w:rPr>
          <w:lang w:val="en-GB"/>
        </w:rPr>
      </w:pPr>
      <w:r w:rsidRPr="00073A8E">
        <w:rPr>
          <w:lang w:val="en-GB"/>
        </w:rPr>
        <w:t>Buskerud</w:t>
      </w:r>
    </w:p>
    <w:p w14:paraId="1473ADDF" w14:textId="77777777" w:rsidR="00073A8E" w:rsidRPr="00073A8E" w:rsidRDefault="00073A8E" w:rsidP="00073A8E">
      <w:pPr>
        <w:pStyle w:val="ListParagraph"/>
        <w:numPr>
          <w:ilvl w:val="1"/>
          <w:numId w:val="13"/>
        </w:numPr>
        <w:rPr>
          <w:lang w:val="en-GB"/>
        </w:rPr>
      </w:pPr>
      <w:proofErr w:type="spellStart"/>
      <w:r w:rsidRPr="00073A8E">
        <w:rPr>
          <w:lang w:val="en-GB"/>
        </w:rPr>
        <w:t>Finmark</w:t>
      </w:r>
      <w:proofErr w:type="spellEnd"/>
    </w:p>
    <w:p w14:paraId="34E1FF95" w14:textId="77777777" w:rsidR="00073A8E" w:rsidRPr="00073A8E" w:rsidRDefault="00073A8E" w:rsidP="00073A8E">
      <w:pPr>
        <w:pStyle w:val="ListParagraph"/>
        <w:numPr>
          <w:ilvl w:val="1"/>
          <w:numId w:val="13"/>
        </w:numPr>
        <w:rPr>
          <w:lang w:val="en-GB"/>
        </w:rPr>
      </w:pPr>
      <w:proofErr w:type="spellStart"/>
      <w:r w:rsidRPr="00073A8E">
        <w:rPr>
          <w:lang w:val="en-GB"/>
        </w:rPr>
        <w:t>Hedmark</w:t>
      </w:r>
      <w:proofErr w:type="spellEnd"/>
    </w:p>
    <w:p w14:paraId="5D16BA1D" w14:textId="77777777" w:rsidR="00073A8E" w:rsidRPr="00073A8E" w:rsidRDefault="00073A8E" w:rsidP="00073A8E">
      <w:pPr>
        <w:pStyle w:val="ListParagraph"/>
        <w:numPr>
          <w:ilvl w:val="1"/>
          <w:numId w:val="13"/>
        </w:numPr>
        <w:rPr>
          <w:lang w:val="en-GB"/>
        </w:rPr>
      </w:pPr>
      <w:r w:rsidRPr="00073A8E">
        <w:rPr>
          <w:lang w:val="en-GB"/>
        </w:rPr>
        <w:t>Hordaland</w:t>
      </w:r>
    </w:p>
    <w:p w14:paraId="4BEED336" w14:textId="77777777" w:rsidR="00073A8E" w:rsidRPr="00073A8E" w:rsidRDefault="00073A8E" w:rsidP="00073A8E">
      <w:pPr>
        <w:pStyle w:val="ListParagraph"/>
        <w:numPr>
          <w:ilvl w:val="1"/>
          <w:numId w:val="13"/>
        </w:numPr>
        <w:rPr>
          <w:lang w:val="en-GB"/>
        </w:rPr>
      </w:pPr>
      <w:proofErr w:type="spellStart"/>
      <w:r w:rsidRPr="00073A8E">
        <w:rPr>
          <w:lang w:val="en-GB"/>
        </w:rPr>
        <w:t>Møre</w:t>
      </w:r>
      <w:proofErr w:type="spellEnd"/>
      <w:r w:rsidRPr="00073A8E">
        <w:rPr>
          <w:lang w:val="en-GB"/>
        </w:rPr>
        <w:t xml:space="preserve"> </w:t>
      </w:r>
      <w:proofErr w:type="spellStart"/>
      <w:r w:rsidRPr="00073A8E">
        <w:rPr>
          <w:lang w:val="en-GB"/>
        </w:rPr>
        <w:t>og</w:t>
      </w:r>
      <w:proofErr w:type="spellEnd"/>
      <w:r w:rsidRPr="00073A8E">
        <w:rPr>
          <w:lang w:val="en-GB"/>
        </w:rPr>
        <w:t xml:space="preserve"> </w:t>
      </w:r>
      <w:proofErr w:type="spellStart"/>
      <w:r w:rsidRPr="00073A8E">
        <w:rPr>
          <w:lang w:val="en-GB"/>
        </w:rPr>
        <w:t>Romsdal</w:t>
      </w:r>
      <w:proofErr w:type="spellEnd"/>
    </w:p>
    <w:p w14:paraId="24298EF1" w14:textId="77777777" w:rsidR="00073A8E" w:rsidRPr="00073A8E" w:rsidRDefault="00073A8E" w:rsidP="00073A8E">
      <w:pPr>
        <w:pStyle w:val="ListParagraph"/>
        <w:numPr>
          <w:ilvl w:val="1"/>
          <w:numId w:val="13"/>
        </w:numPr>
        <w:rPr>
          <w:lang w:val="en-GB"/>
        </w:rPr>
      </w:pPr>
      <w:proofErr w:type="spellStart"/>
      <w:r w:rsidRPr="00073A8E">
        <w:rPr>
          <w:lang w:val="en-GB"/>
        </w:rPr>
        <w:t>Nordland</w:t>
      </w:r>
      <w:proofErr w:type="spellEnd"/>
    </w:p>
    <w:p w14:paraId="695D8299" w14:textId="77777777" w:rsidR="00073A8E" w:rsidRPr="00073A8E" w:rsidRDefault="00073A8E" w:rsidP="00073A8E">
      <w:pPr>
        <w:pStyle w:val="ListParagraph"/>
        <w:numPr>
          <w:ilvl w:val="1"/>
          <w:numId w:val="13"/>
        </w:numPr>
        <w:rPr>
          <w:lang w:val="en-GB"/>
        </w:rPr>
      </w:pPr>
      <w:r w:rsidRPr="00073A8E">
        <w:rPr>
          <w:lang w:val="en-GB"/>
        </w:rPr>
        <w:t>Oppland</w:t>
      </w:r>
    </w:p>
    <w:p w14:paraId="4368199F" w14:textId="77777777" w:rsidR="00073A8E" w:rsidRPr="00073A8E" w:rsidRDefault="00073A8E" w:rsidP="00073A8E">
      <w:pPr>
        <w:pStyle w:val="ListParagraph"/>
        <w:numPr>
          <w:ilvl w:val="1"/>
          <w:numId w:val="13"/>
        </w:numPr>
        <w:rPr>
          <w:lang w:val="en-GB"/>
        </w:rPr>
      </w:pPr>
      <w:r w:rsidRPr="00073A8E">
        <w:rPr>
          <w:lang w:val="en-GB"/>
        </w:rPr>
        <w:t>Oslo</w:t>
      </w:r>
    </w:p>
    <w:p w14:paraId="0BABD423" w14:textId="77777777" w:rsidR="00073A8E" w:rsidRPr="00073A8E" w:rsidRDefault="00073A8E" w:rsidP="00073A8E">
      <w:pPr>
        <w:pStyle w:val="ListParagraph"/>
        <w:numPr>
          <w:ilvl w:val="1"/>
          <w:numId w:val="13"/>
        </w:numPr>
        <w:rPr>
          <w:lang w:val="en-GB"/>
        </w:rPr>
      </w:pPr>
      <w:proofErr w:type="spellStart"/>
      <w:r w:rsidRPr="00073A8E">
        <w:rPr>
          <w:lang w:val="en-GB"/>
        </w:rPr>
        <w:t>Østfold</w:t>
      </w:r>
      <w:proofErr w:type="spellEnd"/>
    </w:p>
    <w:p w14:paraId="59F6015B" w14:textId="77777777" w:rsidR="00073A8E" w:rsidRPr="00073A8E" w:rsidRDefault="00073A8E" w:rsidP="00073A8E">
      <w:pPr>
        <w:pStyle w:val="ListParagraph"/>
        <w:numPr>
          <w:ilvl w:val="1"/>
          <w:numId w:val="13"/>
        </w:numPr>
        <w:rPr>
          <w:lang w:val="en-GB"/>
        </w:rPr>
      </w:pPr>
      <w:r w:rsidRPr="00073A8E">
        <w:rPr>
          <w:lang w:val="en-GB"/>
        </w:rPr>
        <w:t>Rogaland</w:t>
      </w:r>
    </w:p>
    <w:p w14:paraId="4D9ED434" w14:textId="77777777" w:rsidR="00073A8E" w:rsidRPr="00073A8E" w:rsidRDefault="00073A8E" w:rsidP="00073A8E">
      <w:pPr>
        <w:pStyle w:val="ListParagraph"/>
        <w:numPr>
          <w:ilvl w:val="1"/>
          <w:numId w:val="13"/>
        </w:numPr>
        <w:rPr>
          <w:lang w:val="en-GB"/>
        </w:rPr>
      </w:pPr>
      <w:proofErr w:type="spellStart"/>
      <w:r w:rsidRPr="00073A8E">
        <w:rPr>
          <w:lang w:val="en-GB"/>
        </w:rPr>
        <w:t>Sogn</w:t>
      </w:r>
      <w:proofErr w:type="spellEnd"/>
      <w:r w:rsidRPr="00073A8E">
        <w:rPr>
          <w:lang w:val="en-GB"/>
        </w:rPr>
        <w:t xml:space="preserve"> </w:t>
      </w:r>
      <w:proofErr w:type="spellStart"/>
      <w:r w:rsidRPr="00073A8E">
        <w:rPr>
          <w:lang w:val="en-GB"/>
        </w:rPr>
        <w:t>og</w:t>
      </w:r>
      <w:proofErr w:type="spellEnd"/>
      <w:r w:rsidRPr="00073A8E">
        <w:rPr>
          <w:lang w:val="en-GB"/>
        </w:rPr>
        <w:t xml:space="preserve"> Fjordane</w:t>
      </w:r>
    </w:p>
    <w:p w14:paraId="613FA80E" w14:textId="77777777" w:rsidR="00073A8E" w:rsidRPr="00073A8E" w:rsidRDefault="00073A8E" w:rsidP="00073A8E">
      <w:pPr>
        <w:pStyle w:val="ListParagraph"/>
        <w:numPr>
          <w:ilvl w:val="1"/>
          <w:numId w:val="13"/>
        </w:numPr>
        <w:rPr>
          <w:lang w:val="en-GB"/>
        </w:rPr>
      </w:pPr>
      <w:r w:rsidRPr="00073A8E">
        <w:rPr>
          <w:lang w:val="en-GB"/>
        </w:rPr>
        <w:t>Svalbard</w:t>
      </w:r>
    </w:p>
    <w:p w14:paraId="621F00C5" w14:textId="77777777" w:rsidR="00073A8E" w:rsidRPr="00073A8E" w:rsidRDefault="00073A8E" w:rsidP="00073A8E">
      <w:pPr>
        <w:pStyle w:val="ListParagraph"/>
        <w:numPr>
          <w:ilvl w:val="1"/>
          <w:numId w:val="13"/>
        </w:numPr>
        <w:rPr>
          <w:lang w:val="en-GB"/>
        </w:rPr>
      </w:pPr>
      <w:proofErr w:type="spellStart"/>
      <w:r w:rsidRPr="00073A8E">
        <w:rPr>
          <w:lang w:val="en-GB"/>
        </w:rPr>
        <w:t>Telemark</w:t>
      </w:r>
      <w:proofErr w:type="spellEnd"/>
    </w:p>
    <w:p w14:paraId="5A6D5DAE" w14:textId="77777777" w:rsidR="00073A8E" w:rsidRPr="00073A8E" w:rsidRDefault="00073A8E" w:rsidP="00073A8E">
      <w:pPr>
        <w:pStyle w:val="ListParagraph"/>
        <w:numPr>
          <w:ilvl w:val="1"/>
          <w:numId w:val="13"/>
        </w:numPr>
        <w:rPr>
          <w:lang w:val="en-GB"/>
        </w:rPr>
      </w:pPr>
      <w:r w:rsidRPr="00073A8E">
        <w:rPr>
          <w:lang w:val="en-GB"/>
        </w:rPr>
        <w:t>Troms</w:t>
      </w:r>
    </w:p>
    <w:p w14:paraId="30AFCD6E" w14:textId="77777777" w:rsidR="00073A8E" w:rsidRPr="00073A8E" w:rsidRDefault="00073A8E" w:rsidP="00073A8E">
      <w:pPr>
        <w:pStyle w:val="ListParagraph"/>
        <w:numPr>
          <w:ilvl w:val="1"/>
          <w:numId w:val="13"/>
        </w:numPr>
        <w:rPr>
          <w:lang w:val="en-GB"/>
        </w:rPr>
      </w:pPr>
      <w:proofErr w:type="spellStart"/>
      <w:r w:rsidRPr="00073A8E">
        <w:rPr>
          <w:lang w:val="en-GB"/>
        </w:rPr>
        <w:t>Trøndelag</w:t>
      </w:r>
      <w:proofErr w:type="spellEnd"/>
    </w:p>
    <w:p w14:paraId="6368BA0B" w14:textId="77777777" w:rsidR="00073A8E" w:rsidRPr="00073A8E" w:rsidRDefault="00073A8E" w:rsidP="00073A8E">
      <w:pPr>
        <w:pStyle w:val="ListParagraph"/>
        <w:numPr>
          <w:ilvl w:val="1"/>
          <w:numId w:val="13"/>
        </w:numPr>
        <w:rPr>
          <w:lang w:val="en-GB"/>
        </w:rPr>
      </w:pPr>
      <w:r w:rsidRPr="00073A8E">
        <w:rPr>
          <w:lang w:val="en-GB"/>
        </w:rPr>
        <w:t>Vest-</w:t>
      </w:r>
      <w:proofErr w:type="spellStart"/>
      <w:r w:rsidRPr="00073A8E">
        <w:rPr>
          <w:lang w:val="en-GB"/>
        </w:rPr>
        <w:t>Agder</w:t>
      </w:r>
      <w:proofErr w:type="spellEnd"/>
    </w:p>
    <w:p w14:paraId="43B623F8" w14:textId="77777777" w:rsidR="00073A8E" w:rsidRDefault="00073A8E" w:rsidP="00073A8E">
      <w:pPr>
        <w:pStyle w:val="ListParagraph"/>
        <w:numPr>
          <w:ilvl w:val="1"/>
          <w:numId w:val="13"/>
        </w:numPr>
        <w:rPr>
          <w:lang w:val="en-GB"/>
        </w:rPr>
      </w:pPr>
      <w:r w:rsidRPr="00073A8E">
        <w:rPr>
          <w:lang w:val="en-GB"/>
        </w:rPr>
        <w:t>Vestfold</w:t>
      </w:r>
    </w:p>
    <w:p w14:paraId="3D8EB11E" w14:textId="77777777" w:rsidR="00073A8E" w:rsidRDefault="00073A8E" w:rsidP="00073A8E">
      <w:pPr>
        <w:pStyle w:val="ListParagraph"/>
        <w:numPr>
          <w:ilvl w:val="0"/>
          <w:numId w:val="13"/>
        </w:numPr>
        <w:rPr>
          <w:lang w:val="en-GB"/>
        </w:rPr>
      </w:pPr>
      <w:r>
        <w:rPr>
          <w:lang w:val="en-GB"/>
        </w:rPr>
        <w:t>Poland:</w:t>
      </w:r>
    </w:p>
    <w:p w14:paraId="262DA571" w14:textId="77777777" w:rsidR="00073A8E" w:rsidRPr="00073A8E" w:rsidRDefault="00073A8E" w:rsidP="00073A8E">
      <w:pPr>
        <w:pStyle w:val="ListParagraph"/>
        <w:numPr>
          <w:ilvl w:val="1"/>
          <w:numId w:val="13"/>
        </w:numPr>
        <w:rPr>
          <w:lang w:val="en-GB"/>
        </w:rPr>
      </w:pPr>
      <w:proofErr w:type="spellStart"/>
      <w:r w:rsidRPr="00073A8E">
        <w:rPr>
          <w:lang w:val="en-GB"/>
        </w:rPr>
        <w:t>Dolnośląskie</w:t>
      </w:r>
      <w:proofErr w:type="spellEnd"/>
    </w:p>
    <w:p w14:paraId="403095DA" w14:textId="77777777" w:rsidR="00073A8E" w:rsidRPr="00073A8E" w:rsidRDefault="00073A8E" w:rsidP="00073A8E">
      <w:pPr>
        <w:pStyle w:val="ListParagraph"/>
        <w:numPr>
          <w:ilvl w:val="1"/>
          <w:numId w:val="13"/>
        </w:numPr>
        <w:rPr>
          <w:lang w:val="en-GB"/>
        </w:rPr>
      </w:pPr>
      <w:proofErr w:type="spellStart"/>
      <w:r w:rsidRPr="00073A8E">
        <w:rPr>
          <w:lang w:val="en-GB"/>
        </w:rPr>
        <w:t>Kujawsko-Pomorskie</w:t>
      </w:r>
      <w:proofErr w:type="spellEnd"/>
    </w:p>
    <w:p w14:paraId="22F18FB5" w14:textId="77777777" w:rsidR="00073A8E" w:rsidRPr="00073A8E" w:rsidRDefault="00073A8E" w:rsidP="00073A8E">
      <w:pPr>
        <w:pStyle w:val="ListParagraph"/>
        <w:numPr>
          <w:ilvl w:val="1"/>
          <w:numId w:val="13"/>
        </w:numPr>
        <w:rPr>
          <w:lang w:val="en-GB"/>
        </w:rPr>
      </w:pPr>
      <w:proofErr w:type="spellStart"/>
      <w:r w:rsidRPr="00073A8E">
        <w:rPr>
          <w:lang w:val="en-GB"/>
        </w:rPr>
        <w:t>Lubelskie</w:t>
      </w:r>
      <w:proofErr w:type="spellEnd"/>
    </w:p>
    <w:p w14:paraId="2822DF7B" w14:textId="77777777" w:rsidR="00073A8E" w:rsidRPr="00073A8E" w:rsidRDefault="00073A8E" w:rsidP="00073A8E">
      <w:pPr>
        <w:pStyle w:val="ListParagraph"/>
        <w:numPr>
          <w:ilvl w:val="1"/>
          <w:numId w:val="13"/>
        </w:numPr>
        <w:rPr>
          <w:lang w:val="en-GB"/>
        </w:rPr>
      </w:pPr>
      <w:proofErr w:type="spellStart"/>
      <w:r w:rsidRPr="00073A8E">
        <w:rPr>
          <w:lang w:val="en-GB"/>
        </w:rPr>
        <w:t>Lubuskie</w:t>
      </w:r>
      <w:proofErr w:type="spellEnd"/>
    </w:p>
    <w:p w14:paraId="5CE44B85" w14:textId="77777777" w:rsidR="00073A8E" w:rsidRPr="00073A8E" w:rsidRDefault="00073A8E" w:rsidP="00073A8E">
      <w:pPr>
        <w:pStyle w:val="ListParagraph"/>
        <w:numPr>
          <w:ilvl w:val="1"/>
          <w:numId w:val="13"/>
        </w:numPr>
        <w:rPr>
          <w:lang w:val="en-GB"/>
        </w:rPr>
      </w:pPr>
      <w:proofErr w:type="spellStart"/>
      <w:r w:rsidRPr="00073A8E">
        <w:rPr>
          <w:lang w:val="en-GB"/>
        </w:rPr>
        <w:t>Łódzkie</w:t>
      </w:r>
      <w:proofErr w:type="spellEnd"/>
    </w:p>
    <w:p w14:paraId="3D32255A" w14:textId="77777777" w:rsidR="00073A8E" w:rsidRPr="00073A8E" w:rsidRDefault="00073A8E" w:rsidP="00073A8E">
      <w:pPr>
        <w:pStyle w:val="ListParagraph"/>
        <w:numPr>
          <w:ilvl w:val="1"/>
          <w:numId w:val="13"/>
        </w:numPr>
        <w:rPr>
          <w:lang w:val="en-GB"/>
        </w:rPr>
      </w:pPr>
      <w:proofErr w:type="spellStart"/>
      <w:r w:rsidRPr="00073A8E">
        <w:rPr>
          <w:lang w:val="en-GB"/>
        </w:rPr>
        <w:lastRenderedPageBreak/>
        <w:t>Małopolskie</w:t>
      </w:r>
      <w:proofErr w:type="spellEnd"/>
    </w:p>
    <w:p w14:paraId="47CFC716" w14:textId="77777777" w:rsidR="00073A8E" w:rsidRPr="00073A8E" w:rsidRDefault="00073A8E" w:rsidP="00073A8E">
      <w:pPr>
        <w:pStyle w:val="ListParagraph"/>
        <w:numPr>
          <w:ilvl w:val="1"/>
          <w:numId w:val="13"/>
        </w:numPr>
        <w:rPr>
          <w:lang w:val="en-GB"/>
        </w:rPr>
      </w:pPr>
      <w:proofErr w:type="spellStart"/>
      <w:r w:rsidRPr="00073A8E">
        <w:rPr>
          <w:lang w:val="en-GB"/>
        </w:rPr>
        <w:t>Mazowieckie</w:t>
      </w:r>
      <w:proofErr w:type="spellEnd"/>
    </w:p>
    <w:p w14:paraId="09156539" w14:textId="77777777" w:rsidR="00073A8E" w:rsidRPr="00073A8E" w:rsidRDefault="00073A8E" w:rsidP="00073A8E">
      <w:pPr>
        <w:pStyle w:val="ListParagraph"/>
        <w:numPr>
          <w:ilvl w:val="1"/>
          <w:numId w:val="13"/>
        </w:numPr>
        <w:rPr>
          <w:lang w:val="en-GB"/>
        </w:rPr>
      </w:pPr>
      <w:proofErr w:type="spellStart"/>
      <w:r w:rsidRPr="00073A8E">
        <w:rPr>
          <w:lang w:val="en-GB"/>
        </w:rPr>
        <w:t>Opolskie</w:t>
      </w:r>
      <w:proofErr w:type="spellEnd"/>
    </w:p>
    <w:p w14:paraId="14D8E119" w14:textId="77777777" w:rsidR="00073A8E" w:rsidRPr="00073A8E" w:rsidRDefault="00073A8E" w:rsidP="00073A8E">
      <w:pPr>
        <w:pStyle w:val="ListParagraph"/>
        <w:numPr>
          <w:ilvl w:val="1"/>
          <w:numId w:val="13"/>
        </w:numPr>
        <w:rPr>
          <w:lang w:val="en-GB"/>
        </w:rPr>
      </w:pPr>
      <w:proofErr w:type="spellStart"/>
      <w:r w:rsidRPr="00073A8E">
        <w:rPr>
          <w:lang w:val="en-GB"/>
        </w:rPr>
        <w:t>Podkarpackie</w:t>
      </w:r>
      <w:proofErr w:type="spellEnd"/>
    </w:p>
    <w:p w14:paraId="5F40480F" w14:textId="77777777" w:rsidR="00073A8E" w:rsidRPr="00073A8E" w:rsidRDefault="00073A8E" w:rsidP="00073A8E">
      <w:pPr>
        <w:pStyle w:val="ListParagraph"/>
        <w:numPr>
          <w:ilvl w:val="1"/>
          <w:numId w:val="13"/>
        </w:numPr>
        <w:rPr>
          <w:lang w:val="en-GB"/>
        </w:rPr>
      </w:pPr>
      <w:proofErr w:type="spellStart"/>
      <w:r w:rsidRPr="00073A8E">
        <w:rPr>
          <w:lang w:val="en-GB"/>
        </w:rPr>
        <w:t>Podlaskie</w:t>
      </w:r>
      <w:proofErr w:type="spellEnd"/>
    </w:p>
    <w:p w14:paraId="40194855" w14:textId="77777777" w:rsidR="00073A8E" w:rsidRPr="00073A8E" w:rsidRDefault="00073A8E" w:rsidP="00073A8E">
      <w:pPr>
        <w:pStyle w:val="ListParagraph"/>
        <w:numPr>
          <w:ilvl w:val="1"/>
          <w:numId w:val="13"/>
        </w:numPr>
        <w:rPr>
          <w:lang w:val="en-GB"/>
        </w:rPr>
      </w:pPr>
      <w:proofErr w:type="spellStart"/>
      <w:r w:rsidRPr="00073A8E">
        <w:rPr>
          <w:lang w:val="en-GB"/>
        </w:rPr>
        <w:t>Pomorskie</w:t>
      </w:r>
      <w:proofErr w:type="spellEnd"/>
    </w:p>
    <w:p w14:paraId="24F8B966" w14:textId="77777777" w:rsidR="00073A8E" w:rsidRPr="00073A8E" w:rsidRDefault="00073A8E" w:rsidP="00073A8E">
      <w:pPr>
        <w:pStyle w:val="ListParagraph"/>
        <w:numPr>
          <w:ilvl w:val="1"/>
          <w:numId w:val="13"/>
        </w:numPr>
        <w:rPr>
          <w:lang w:val="en-GB"/>
        </w:rPr>
      </w:pPr>
      <w:proofErr w:type="spellStart"/>
      <w:r w:rsidRPr="00073A8E">
        <w:rPr>
          <w:lang w:val="en-GB"/>
        </w:rPr>
        <w:t>Śląskie</w:t>
      </w:r>
      <w:proofErr w:type="spellEnd"/>
    </w:p>
    <w:p w14:paraId="74ED53B2" w14:textId="77777777" w:rsidR="00073A8E" w:rsidRPr="00073A8E" w:rsidRDefault="00073A8E" w:rsidP="00073A8E">
      <w:pPr>
        <w:pStyle w:val="ListParagraph"/>
        <w:numPr>
          <w:ilvl w:val="1"/>
          <w:numId w:val="13"/>
        </w:numPr>
        <w:rPr>
          <w:lang w:val="en-GB"/>
        </w:rPr>
      </w:pPr>
      <w:proofErr w:type="spellStart"/>
      <w:r w:rsidRPr="00073A8E">
        <w:rPr>
          <w:lang w:val="en-GB"/>
        </w:rPr>
        <w:t>Świętokrzyskie</w:t>
      </w:r>
      <w:proofErr w:type="spellEnd"/>
    </w:p>
    <w:p w14:paraId="4FB0C51B" w14:textId="77777777" w:rsidR="00073A8E" w:rsidRPr="00073A8E" w:rsidRDefault="00073A8E" w:rsidP="00073A8E">
      <w:pPr>
        <w:pStyle w:val="ListParagraph"/>
        <w:numPr>
          <w:ilvl w:val="1"/>
          <w:numId w:val="13"/>
        </w:numPr>
        <w:rPr>
          <w:lang w:val="en-GB"/>
        </w:rPr>
      </w:pPr>
      <w:proofErr w:type="spellStart"/>
      <w:r w:rsidRPr="00073A8E">
        <w:rPr>
          <w:lang w:val="en-GB"/>
        </w:rPr>
        <w:t>Warmińsko-Mazurskie</w:t>
      </w:r>
      <w:proofErr w:type="spellEnd"/>
    </w:p>
    <w:p w14:paraId="4B8676F2" w14:textId="77777777" w:rsidR="00073A8E" w:rsidRPr="00073A8E" w:rsidRDefault="00073A8E" w:rsidP="00073A8E">
      <w:pPr>
        <w:pStyle w:val="ListParagraph"/>
        <w:numPr>
          <w:ilvl w:val="1"/>
          <w:numId w:val="13"/>
        </w:numPr>
        <w:rPr>
          <w:lang w:val="en-GB"/>
        </w:rPr>
      </w:pPr>
      <w:proofErr w:type="spellStart"/>
      <w:r w:rsidRPr="00073A8E">
        <w:rPr>
          <w:lang w:val="en-GB"/>
        </w:rPr>
        <w:t>Wielkopolskie</w:t>
      </w:r>
      <w:proofErr w:type="spellEnd"/>
    </w:p>
    <w:p w14:paraId="008E0F77" w14:textId="77777777" w:rsidR="00073A8E" w:rsidRDefault="00073A8E" w:rsidP="00073A8E">
      <w:pPr>
        <w:pStyle w:val="ListParagraph"/>
        <w:numPr>
          <w:ilvl w:val="1"/>
          <w:numId w:val="13"/>
        </w:numPr>
        <w:rPr>
          <w:lang w:val="en-GB"/>
        </w:rPr>
      </w:pPr>
      <w:proofErr w:type="spellStart"/>
      <w:r w:rsidRPr="00073A8E">
        <w:rPr>
          <w:lang w:val="en-GB"/>
        </w:rPr>
        <w:t>Zachodniopomorskie</w:t>
      </w:r>
      <w:proofErr w:type="spellEnd"/>
    </w:p>
    <w:p w14:paraId="64F3EAC5" w14:textId="77777777" w:rsidR="00073A8E" w:rsidRDefault="00073A8E" w:rsidP="00073A8E">
      <w:pPr>
        <w:pStyle w:val="ListParagraph"/>
        <w:numPr>
          <w:ilvl w:val="0"/>
          <w:numId w:val="13"/>
        </w:numPr>
        <w:rPr>
          <w:lang w:val="en-GB"/>
        </w:rPr>
      </w:pPr>
      <w:r>
        <w:rPr>
          <w:lang w:val="en-GB"/>
        </w:rPr>
        <w:t>Portugal:</w:t>
      </w:r>
    </w:p>
    <w:p w14:paraId="7C827DA7" w14:textId="77777777" w:rsidR="00073A8E" w:rsidRPr="00073A8E" w:rsidRDefault="00073A8E" w:rsidP="00073A8E">
      <w:pPr>
        <w:pStyle w:val="ListParagraph"/>
        <w:numPr>
          <w:ilvl w:val="1"/>
          <w:numId w:val="13"/>
        </w:numPr>
        <w:rPr>
          <w:lang w:val="en-GB"/>
        </w:rPr>
      </w:pPr>
      <w:r w:rsidRPr="00073A8E">
        <w:rPr>
          <w:lang w:val="en-GB"/>
        </w:rPr>
        <w:t>North</w:t>
      </w:r>
    </w:p>
    <w:p w14:paraId="351B5F2A" w14:textId="77777777" w:rsidR="00073A8E" w:rsidRPr="00073A8E" w:rsidRDefault="00073A8E" w:rsidP="00073A8E">
      <w:pPr>
        <w:pStyle w:val="ListParagraph"/>
        <w:numPr>
          <w:ilvl w:val="1"/>
          <w:numId w:val="13"/>
        </w:numPr>
        <w:rPr>
          <w:lang w:val="en-GB"/>
        </w:rPr>
      </w:pPr>
      <w:proofErr w:type="spellStart"/>
      <w:r w:rsidRPr="00073A8E">
        <w:rPr>
          <w:lang w:val="en-GB"/>
        </w:rPr>
        <w:t>Center</w:t>
      </w:r>
      <w:proofErr w:type="spellEnd"/>
    </w:p>
    <w:p w14:paraId="761E8C85" w14:textId="77777777" w:rsidR="00073A8E" w:rsidRPr="00073A8E" w:rsidRDefault="00073A8E" w:rsidP="00073A8E">
      <w:pPr>
        <w:pStyle w:val="ListParagraph"/>
        <w:numPr>
          <w:ilvl w:val="1"/>
          <w:numId w:val="13"/>
        </w:numPr>
        <w:rPr>
          <w:lang w:val="en-GB"/>
        </w:rPr>
      </w:pPr>
      <w:r w:rsidRPr="00073A8E">
        <w:rPr>
          <w:lang w:val="en-GB"/>
        </w:rPr>
        <w:t>Lisbon</w:t>
      </w:r>
    </w:p>
    <w:p w14:paraId="0D01C859" w14:textId="77777777" w:rsidR="00073A8E" w:rsidRPr="00073A8E" w:rsidRDefault="00073A8E" w:rsidP="00073A8E">
      <w:pPr>
        <w:pStyle w:val="ListParagraph"/>
        <w:numPr>
          <w:ilvl w:val="1"/>
          <w:numId w:val="13"/>
        </w:numPr>
        <w:rPr>
          <w:lang w:val="en-GB"/>
        </w:rPr>
      </w:pPr>
      <w:proofErr w:type="spellStart"/>
      <w:r w:rsidRPr="00073A8E">
        <w:rPr>
          <w:lang w:val="en-GB"/>
        </w:rPr>
        <w:t>Alentejo</w:t>
      </w:r>
      <w:proofErr w:type="spellEnd"/>
      <w:r w:rsidRPr="00073A8E">
        <w:rPr>
          <w:lang w:val="en-GB"/>
        </w:rPr>
        <w:t xml:space="preserve"> </w:t>
      </w:r>
    </w:p>
    <w:p w14:paraId="186FC5E4" w14:textId="77777777" w:rsidR="00073A8E" w:rsidRPr="00073A8E" w:rsidRDefault="00073A8E" w:rsidP="00073A8E">
      <w:pPr>
        <w:pStyle w:val="ListParagraph"/>
        <w:numPr>
          <w:ilvl w:val="1"/>
          <w:numId w:val="13"/>
        </w:numPr>
        <w:rPr>
          <w:lang w:val="en-GB"/>
        </w:rPr>
      </w:pPr>
      <w:r w:rsidRPr="00073A8E">
        <w:rPr>
          <w:lang w:val="en-GB"/>
        </w:rPr>
        <w:t>Algarve</w:t>
      </w:r>
    </w:p>
    <w:p w14:paraId="13078137" w14:textId="77777777" w:rsidR="00073A8E" w:rsidRPr="00073A8E" w:rsidRDefault="00073A8E" w:rsidP="00073A8E">
      <w:pPr>
        <w:pStyle w:val="ListParagraph"/>
        <w:numPr>
          <w:ilvl w:val="1"/>
          <w:numId w:val="13"/>
        </w:numPr>
        <w:rPr>
          <w:lang w:val="en-GB"/>
        </w:rPr>
      </w:pPr>
      <w:r w:rsidRPr="00073A8E">
        <w:rPr>
          <w:lang w:val="en-GB"/>
        </w:rPr>
        <w:t>Madeira</w:t>
      </w:r>
    </w:p>
    <w:p w14:paraId="21F4D61A" w14:textId="77777777" w:rsidR="00073A8E" w:rsidRDefault="00073A8E" w:rsidP="00073A8E">
      <w:pPr>
        <w:pStyle w:val="ListParagraph"/>
        <w:numPr>
          <w:ilvl w:val="1"/>
          <w:numId w:val="13"/>
        </w:numPr>
        <w:rPr>
          <w:lang w:val="en-GB"/>
        </w:rPr>
      </w:pPr>
      <w:r w:rsidRPr="00073A8E">
        <w:rPr>
          <w:lang w:val="en-GB"/>
        </w:rPr>
        <w:t>Azores</w:t>
      </w:r>
    </w:p>
    <w:p w14:paraId="4D54EE6F" w14:textId="77777777" w:rsidR="00BB6E5B" w:rsidRDefault="00BB6E5B" w:rsidP="00BB6E5B">
      <w:pPr>
        <w:pStyle w:val="ListParagraph"/>
        <w:numPr>
          <w:ilvl w:val="0"/>
          <w:numId w:val="13"/>
        </w:numPr>
        <w:rPr>
          <w:lang w:val="en-GB"/>
        </w:rPr>
      </w:pPr>
      <w:r>
        <w:rPr>
          <w:lang w:val="en-GB"/>
        </w:rPr>
        <w:t>Republic of Korea (South):</w:t>
      </w:r>
    </w:p>
    <w:p w14:paraId="4E4BEE57" w14:textId="77777777" w:rsidR="00BB6E5B" w:rsidRPr="00BB6E5B" w:rsidRDefault="00BB6E5B" w:rsidP="00BB6E5B">
      <w:pPr>
        <w:pStyle w:val="ListParagraph"/>
        <w:numPr>
          <w:ilvl w:val="1"/>
          <w:numId w:val="13"/>
        </w:numPr>
        <w:rPr>
          <w:lang w:val="en-GB"/>
        </w:rPr>
      </w:pPr>
      <w:r w:rsidRPr="00BB6E5B">
        <w:rPr>
          <w:lang w:val="en-GB"/>
        </w:rPr>
        <w:t>Busan</w:t>
      </w:r>
    </w:p>
    <w:p w14:paraId="52036D86" w14:textId="77777777" w:rsidR="00BB6E5B" w:rsidRPr="00BB6E5B" w:rsidRDefault="00BB6E5B" w:rsidP="00BB6E5B">
      <w:pPr>
        <w:pStyle w:val="ListParagraph"/>
        <w:numPr>
          <w:ilvl w:val="1"/>
          <w:numId w:val="13"/>
        </w:numPr>
        <w:rPr>
          <w:lang w:val="en-GB"/>
        </w:rPr>
      </w:pPr>
      <w:r w:rsidRPr="00BB6E5B">
        <w:rPr>
          <w:lang w:val="en-GB"/>
        </w:rPr>
        <w:t>North Chungcheong</w:t>
      </w:r>
    </w:p>
    <w:p w14:paraId="688D996D" w14:textId="77777777" w:rsidR="00BB6E5B" w:rsidRPr="00BB6E5B" w:rsidRDefault="00BB6E5B" w:rsidP="00BB6E5B">
      <w:pPr>
        <w:pStyle w:val="ListParagraph"/>
        <w:numPr>
          <w:ilvl w:val="1"/>
          <w:numId w:val="13"/>
        </w:numPr>
        <w:rPr>
          <w:lang w:val="en-GB"/>
        </w:rPr>
      </w:pPr>
      <w:r w:rsidRPr="00BB6E5B">
        <w:rPr>
          <w:lang w:val="en-GB"/>
        </w:rPr>
        <w:t>South Chungcheong</w:t>
      </w:r>
    </w:p>
    <w:p w14:paraId="1B43CC15" w14:textId="77777777" w:rsidR="00BB6E5B" w:rsidRPr="00BB6E5B" w:rsidRDefault="00BB6E5B" w:rsidP="00BB6E5B">
      <w:pPr>
        <w:pStyle w:val="ListParagraph"/>
        <w:numPr>
          <w:ilvl w:val="1"/>
          <w:numId w:val="13"/>
        </w:numPr>
        <w:rPr>
          <w:lang w:val="en-GB"/>
        </w:rPr>
      </w:pPr>
      <w:r w:rsidRPr="00BB6E5B">
        <w:rPr>
          <w:lang w:val="en-GB"/>
        </w:rPr>
        <w:t>Daejeon</w:t>
      </w:r>
    </w:p>
    <w:p w14:paraId="12F9012C" w14:textId="77777777" w:rsidR="00BB6E5B" w:rsidRPr="00BB6E5B" w:rsidRDefault="00BB6E5B" w:rsidP="00BB6E5B">
      <w:pPr>
        <w:pStyle w:val="ListParagraph"/>
        <w:numPr>
          <w:ilvl w:val="1"/>
          <w:numId w:val="13"/>
        </w:numPr>
        <w:rPr>
          <w:lang w:val="en-GB"/>
        </w:rPr>
      </w:pPr>
      <w:r w:rsidRPr="00BB6E5B">
        <w:rPr>
          <w:lang w:val="en-GB"/>
        </w:rPr>
        <w:t>Daegu</w:t>
      </w:r>
    </w:p>
    <w:p w14:paraId="75AEA9A8" w14:textId="77777777" w:rsidR="00BB6E5B" w:rsidRPr="00BB6E5B" w:rsidRDefault="00BB6E5B" w:rsidP="00BB6E5B">
      <w:pPr>
        <w:pStyle w:val="ListParagraph"/>
        <w:numPr>
          <w:ilvl w:val="1"/>
          <w:numId w:val="13"/>
        </w:numPr>
        <w:rPr>
          <w:lang w:val="en-GB"/>
        </w:rPr>
      </w:pPr>
      <w:r w:rsidRPr="00BB6E5B">
        <w:rPr>
          <w:lang w:val="en-GB"/>
        </w:rPr>
        <w:t>Gangwon</w:t>
      </w:r>
    </w:p>
    <w:p w14:paraId="48AF8678" w14:textId="77777777" w:rsidR="00BB6E5B" w:rsidRPr="00BB6E5B" w:rsidRDefault="00BB6E5B" w:rsidP="00BB6E5B">
      <w:pPr>
        <w:pStyle w:val="ListParagraph"/>
        <w:numPr>
          <w:ilvl w:val="1"/>
          <w:numId w:val="13"/>
        </w:numPr>
        <w:rPr>
          <w:lang w:val="en-GB"/>
        </w:rPr>
      </w:pPr>
      <w:r w:rsidRPr="00BB6E5B">
        <w:rPr>
          <w:lang w:val="en-GB"/>
        </w:rPr>
        <w:t>Gwangju</w:t>
      </w:r>
    </w:p>
    <w:p w14:paraId="10C68DED" w14:textId="77777777" w:rsidR="00BB6E5B" w:rsidRPr="00BB6E5B" w:rsidRDefault="00BB6E5B" w:rsidP="00BB6E5B">
      <w:pPr>
        <w:pStyle w:val="ListParagraph"/>
        <w:numPr>
          <w:ilvl w:val="1"/>
          <w:numId w:val="13"/>
        </w:numPr>
        <w:rPr>
          <w:lang w:val="en-GB"/>
        </w:rPr>
      </w:pPr>
      <w:r w:rsidRPr="00BB6E5B">
        <w:rPr>
          <w:lang w:val="en-GB"/>
        </w:rPr>
        <w:t>Gyeonggi</w:t>
      </w:r>
    </w:p>
    <w:p w14:paraId="2C3F78E4" w14:textId="77777777" w:rsidR="00BB6E5B" w:rsidRPr="00BB6E5B" w:rsidRDefault="00BB6E5B" w:rsidP="00BB6E5B">
      <w:pPr>
        <w:pStyle w:val="ListParagraph"/>
        <w:numPr>
          <w:ilvl w:val="1"/>
          <w:numId w:val="13"/>
        </w:numPr>
        <w:rPr>
          <w:lang w:val="en-GB"/>
        </w:rPr>
      </w:pPr>
      <w:r w:rsidRPr="00BB6E5B">
        <w:rPr>
          <w:lang w:val="en-GB"/>
        </w:rPr>
        <w:t xml:space="preserve">North </w:t>
      </w:r>
      <w:proofErr w:type="spellStart"/>
      <w:r w:rsidRPr="00BB6E5B">
        <w:rPr>
          <w:lang w:val="en-GB"/>
        </w:rPr>
        <w:t>Gyeongsang</w:t>
      </w:r>
      <w:proofErr w:type="spellEnd"/>
    </w:p>
    <w:p w14:paraId="1A0D9AB9" w14:textId="77777777" w:rsidR="00BB6E5B" w:rsidRPr="00BB6E5B" w:rsidRDefault="00BB6E5B" w:rsidP="00BB6E5B">
      <w:pPr>
        <w:pStyle w:val="ListParagraph"/>
        <w:numPr>
          <w:ilvl w:val="1"/>
          <w:numId w:val="13"/>
        </w:numPr>
        <w:rPr>
          <w:lang w:val="en-GB"/>
        </w:rPr>
      </w:pPr>
      <w:r w:rsidRPr="00BB6E5B">
        <w:rPr>
          <w:lang w:val="en-GB"/>
        </w:rPr>
        <w:t xml:space="preserve">South </w:t>
      </w:r>
      <w:proofErr w:type="spellStart"/>
      <w:r w:rsidRPr="00BB6E5B">
        <w:rPr>
          <w:lang w:val="en-GB"/>
        </w:rPr>
        <w:t>Gyeongsang</w:t>
      </w:r>
      <w:proofErr w:type="spellEnd"/>
    </w:p>
    <w:p w14:paraId="16F56129" w14:textId="77777777" w:rsidR="00BB6E5B" w:rsidRPr="00BB6E5B" w:rsidRDefault="00BB6E5B" w:rsidP="00BB6E5B">
      <w:pPr>
        <w:pStyle w:val="ListParagraph"/>
        <w:numPr>
          <w:ilvl w:val="1"/>
          <w:numId w:val="13"/>
        </w:numPr>
        <w:rPr>
          <w:lang w:val="en-GB"/>
        </w:rPr>
      </w:pPr>
      <w:r w:rsidRPr="00BB6E5B">
        <w:rPr>
          <w:lang w:val="en-GB"/>
        </w:rPr>
        <w:t>Incheon</w:t>
      </w:r>
    </w:p>
    <w:p w14:paraId="5E9D0CFA" w14:textId="77777777" w:rsidR="00BB6E5B" w:rsidRPr="00BB6E5B" w:rsidRDefault="00BB6E5B" w:rsidP="00BB6E5B">
      <w:pPr>
        <w:pStyle w:val="ListParagraph"/>
        <w:numPr>
          <w:ilvl w:val="1"/>
          <w:numId w:val="13"/>
        </w:numPr>
        <w:rPr>
          <w:lang w:val="en-GB"/>
        </w:rPr>
      </w:pPr>
      <w:proofErr w:type="spellStart"/>
      <w:r w:rsidRPr="00BB6E5B">
        <w:rPr>
          <w:lang w:val="en-GB"/>
        </w:rPr>
        <w:t>Jeju</w:t>
      </w:r>
      <w:proofErr w:type="spellEnd"/>
    </w:p>
    <w:p w14:paraId="4A07BDAB" w14:textId="77777777" w:rsidR="00BB6E5B" w:rsidRPr="00BB6E5B" w:rsidRDefault="00BB6E5B" w:rsidP="00BB6E5B">
      <w:pPr>
        <w:pStyle w:val="ListParagraph"/>
        <w:numPr>
          <w:ilvl w:val="1"/>
          <w:numId w:val="13"/>
        </w:numPr>
        <w:rPr>
          <w:lang w:val="en-GB"/>
        </w:rPr>
      </w:pPr>
      <w:r w:rsidRPr="00BB6E5B">
        <w:rPr>
          <w:lang w:val="en-GB"/>
        </w:rPr>
        <w:t xml:space="preserve">North </w:t>
      </w:r>
      <w:proofErr w:type="spellStart"/>
      <w:r w:rsidRPr="00BB6E5B">
        <w:rPr>
          <w:lang w:val="en-GB"/>
        </w:rPr>
        <w:t>Jeolla</w:t>
      </w:r>
      <w:proofErr w:type="spellEnd"/>
    </w:p>
    <w:p w14:paraId="260423B6" w14:textId="77777777" w:rsidR="00BB6E5B" w:rsidRPr="00BB6E5B" w:rsidRDefault="00BB6E5B" w:rsidP="00BB6E5B">
      <w:pPr>
        <w:pStyle w:val="ListParagraph"/>
        <w:numPr>
          <w:ilvl w:val="1"/>
          <w:numId w:val="13"/>
        </w:numPr>
        <w:rPr>
          <w:lang w:val="en-GB"/>
        </w:rPr>
      </w:pPr>
      <w:r w:rsidRPr="00BB6E5B">
        <w:rPr>
          <w:lang w:val="en-GB"/>
        </w:rPr>
        <w:t xml:space="preserve">South </w:t>
      </w:r>
      <w:proofErr w:type="spellStart"/>
      <w:r w:rsidRPr="00BB6E5B">
        <w:rPr>
          <w:lang w:val="en-GB"/>
        </w:rPr>
        <w:t>Jeolla</w:t>
      </w:r>
      <w:proofErr w:type="spellEnd"/>
    </w:p>
    <w:p w14:paraId="07DAC7C0" w14:textId="77777777" w:rsidR="00BB6E5B" w:rsidRPr="00BB6E5B" w:rsidRDefault="00BB6E5B" w:rsidP="00BB6E5B">
      <w:pPr>
        <w:pStyle w:val="ListParagraph"/>
        <w:numPr>
          <w:ilvl w:val="1"/>
          <w:numId w:val="13"/>
        </w:numPr>
        <w:rPr>
          <w:lang w:val="en-GB"/>
        </w:rPr>
      </w:pPr>
      <w:r w:rsidRPr="00BB6E5B">
        <w:rPr>
          <w:lang w:val="en-GB"/>
        </w:rPr>
        <w:t>Sejong</w:t>
      </w:r>
    </w:p>
    <w:p w14:paraId="6F2DC0ED" w14:textId="77777777" w:rsidR="00BB6E5B" w:rsidRPr="00BB6E5B" w:rsidRDefault="00BB6E5B" w:rsidP="00BB6E5B">
      <w:pPr>
        <w:pStyle w:val="ListParagraph"/>
        <w:numPr>
          <w:ilvl w:val="1"/>
          <w:numId w:val="13"/>
        </w:numPr>
        <w:rPr>
          <w:lang w:val="en-GB"/>
        </w:rPr>
      </w:pPr>
      <w:r w:rsidRPr="00BB6E5B">
        <w:rPr>
          <w:lang w:val="en-GB"/>
        </w:rPr>
        <w:t>Seoul</w:t>
      </w:r>
    </w:p>
    <w:p w14:paraId="494F3C6F" w14:textId="77777777" w:rsidR="00BB6E5B" w:rsidRDefault="00BB6E5B" w:rsidP="00BB6E5B">
      <w:pPr>
        <w:pStyle w:val="ListParagraph"/>
        <w:numPr>
          <w:ilvl w:val="1"/>
          <w:numId w:val="13"/>
        </w:numPr>
        <w:rPr>
          <w:lang w:val="en-GB"/>
        </w:rPr>
      </w:pPr>
      <w:r w:rsidRPr="00BB6E5B">
        <w:rPr>
          <w:lang w:val="en-GB"/>
        </w:rPr>
        <w:t>Ulsan</w:t>
      </w:r>
    </w:p>
    <w:p w14:paraId="48C662FC" w14:textId="77777777" w:rsidR="00073A8E" w:rsidRDefault="00073A8E" w:rsidP="00073A8E">
      <w:pPr>
        <w:pStyle w:val="ListParagraph"/>
        <w:numPr>
          <w:ilvl w:val="0"/>
          <w:numId w:val="13"/>
        </w:numPr>
        <w:rPr>
          <w:lang w:val="en-GB"/>
        </w:rPr>
      </w:pPr>
      <w:r>
        <w:rPr>
          <w:lang w:val="en-GB"/>
        </w:rPr>
        <w:t>Singapore:</w:t>
      </w:r>
    </w:p>
    <w:p w14:paraId="7DD03895" w14:textId="77777777" w:rsidR="00073A8E" w:rsidRPr="00073A8E" w:rsidRDefault="00073A8E" w:rsidP="00073A8E">
      <w:pPr>
        <w:pStyle w:val="ListParagraph"/>
        <w:numPr>
          <w:ilvl w:val="1"/>
          <w:numId w:val="13"/>
        </w:numPr>
        <w:rPr>
          <w:lang w:val="en-GB"/>
        </w:rPr>
      </w:pPr>
      <w:r w:rsidRPr="00073A8E">
        <w:rPr>
          <w:lang w:val="en-GB"/>
        </w:rPr>
        <w:t>Core Central Region (CCR)</w:t>
      </w:r>
    </w:p>
    <w:p w14:paraId="3817A091" w14:textId="77777777" w:rsidR="00073A8E" w:rsidRPr="00073A8E" w:rsidRDefault="00073A8E" w:rsidP="00073A8E">
      <w:pPr>
        <w:pStyle w:val="ListParagraph"/>
        <w:numPr>
          <w:ilvl w:val="1"/>
          <w:numId w:val="13"/>
        </w:numPr>
        <w:rPr>
          <w:lang w:val="en-GB"/>
        </w:rPr>
      </w:pPr>
      <w:r w:rsidRPr="00073A8E">
        <w:rPr>
          <w:lang w:val="en-GB"/>
        </w:rPr>
        <w:t>Rest of Central Region (RCR)</w:t>
      </w:r>
    </w:p>
    <w:p w14:paraId="7D77BF00" w14:textId="77777777" w:rsidR="00073A8E" w:rsidRDefault="00073A8E" w:rsidP="00073A8E">
      <w:pPr>
        <w:pStyle w:val="ListParagraph"/>
        <w:numPr>
          <w:ilvl w:val="1"/>
          <w:numId w:val="13"/>
        </w:numPr>
        <w:rPr>
          <w:lang w:val="en-GB"/>
        </w:rPr>
      </w:pPr>
      <w:r w:rsidRPr="00073A8E">
        <w:rPr>
          <w:lang w:val="en-GB"/>
        </w:rPr>
        <w:t>Outside Central Region (OCR)</w:t>
      </w:r>
    </w:p>
    <w:p w14:paraId="75E76B84" w14:textId="4095921F" w:rsidR="00073A8E" w:rsidRDefault="00073A8E" w:rsidP="00073A8E">
      <w:pPr>
        <w:pStyle w:val="ListParagraph"/>
        <w:numPr>
          <w:ilvl w:val="0"/>
          <w:numId w:val="13"/>
        </w:numPr>
        <w:rPr>
          <w:lang w:val="en-GB"/>
        </w:rPr>
      </w:pPr>
      <w:r>
        <w:rPr>
          <w:lang w:val="en-GB"/>
        </w:rPr>
        <w:t>Spain:</w:t>
      </w:r>
    </w:p>
    <w:p w14:paraId="4A14A55B" w14:textId="77777777" w:rsidR="00073A8E" w:rsidRPr="00073A8E" w:rsidRDefault="00073A8E" w:rsidP="00073A8E">
      <w:pPr>
        <w:pStyle w:val="ListParagraph"/>
        <w:numPr>
          <w:ilvl w:val="1"/>
          <w:numId w:val="13"/>
        </w:numPr>
        <w:rPr>
          <w:lang w:val="en-GB"/>
        </w:rPr>
      </w:pPr>
      <w:r w:rsidRPr="00073A8E">
        <w:rPr>
          <w:lang w:val="en-GB"/>
        </w:rPr>
        <w:t>Andalusia</w:t>
      </w:r>
    </w:p>
    <w:p w14:paraId="15187E63" w14:textId="77777777" w:rsidR="00073A8E" w:rsidRPr="00073A8E" w:rsidRDefault="00073A8E" w:rsidP="00073A8E">
      <w:pPr>
        <w:pStyle w:val="ListParagraph"/>
        <w:numPr>
          <w:ilvl w:val="1"/>
          <w:numId w:val="13"/>
        </w:numPr>
        <w:rPr>
          <w:lang w:val="en-GB"/>
        </w:rPr>
      </w:pPr>
      <w:r w:rsidRPr="00073A8E">
        <w:rPr>
          <w:lang w:val="en-GB"/>
        </w:rPr>
        <w:t>Aragon</w:t>
      </w:r>
    </w:p>
    <w:p w14:paraId="67B545C6" w14:textId="77777777" w:rsidR="00073A8E" w:rsidRPr="00073A8E" w:rsidRDefault="00073A8E" w:rsidP="00073A8E">
      <w:pPr>
        <w:pStyle w:val="ListParagraph"/>
        <w:numPr>
          <w:ilvl w:val="1"/>
          <w:numId w:val="13"/>
        </w:numPr>
        <w:rPr>
          <w:lang w:val="en-GB"/>
        </w:rPr>
      </w:pPr>
      <w:r w:rsidRPr="00073A8E">
        <w:rPr>
          <w:lang w:val="en-GB"/>
        </w:rPr>
        <w:t>Asturias</w:t>
      </w:r>
    </w:p>
    <w:p w14:paraId="3042A468" w14:textId="77777777" w:rsidR="00073A8E" w:rsidRPr="00073A8E" w:rsidRDefault="00073A8E" w:rsidP="00073A8E">
      <w:pPr>
        <w:pStyle w:val="ListParagraph"/>
        <w:numPr>
          <w:ilvl w:val="1"/>
          <w:numId w:val="13"/>
        </w:numPr>
        <w:rPr>
          <w:lang w:val="en-GB"/>
        </w:rPr>
      </w:pPr>
      <w:r w:rsidRPr="00073A8E">
        <w:rPr>
          <w:lang w:val="en-GB"/>
        </w:rPr>
        <w:t>Balearic Islands</w:t>
      </w:r>
    </w:p>
    <w:p w14:paraId="07A9FDB4" w14:textId="77777777" w:rsidR="00073A8E" w:rsidRPr="00073A8E" w:rsidRDefault="00073A8E" w:rsidP="00073A8E">
      <w:pPr>
        <w:pStyle w:val="ListParagraph"/>
        <w:numPr>
          <w:ilvl w:val="1"/>
          <w:numId w:val="13"/>
        </w:numPr>
        <w:rPr>
          <w:lang w:val="en-GB"/>
        </w:rPr>
      </w:pPr>
      <w:r w:rsidRPr="00073A8E">
        <w:rPr>
          <w:lang w:val="en-GB"/>
        </w:rPr>
        <w:t>Basque Country</w:t>
      </w:r>
    </w:p>
    <w:p w14:paraId="1F76A6A7" w14:textId="77777777" w:rsidR="00073A8E" w:rsidRPr="00073A8E" w:rsidRDefault="00073A8E" w:rsidP="00073A8E">
      <w:pPr>
        <w:pStyle w:val="ListParagraph"/>
        <w:numPr>
          <w:ilvl w:val="1"/>
          <w:numId w:val="13"/>
        </w:numPr>
        <w:rPr>
          <w:lang w:val="en-GB"/>
        </w:rPr>
      </w:pPr>
      <w:r w:rsidRPr="00073A8E">
        <w:rPr>
          <w:lang w:val="en-GB"/>
        </w:rPr>
        <w:t>Canary Islands</w:t>
      </w:r>
    </w:p>
    <w:p w14:paraId="25E41A5A" w14:textId="77777777" w:rsidR="00073A8E" w:rsidRPr="00073A8E" w:rsidRDefault="00073A8E" w:rsidP="00073A8E">
      <w:pPr>
        <w:pStyle w:val="ListParagraph"/>
        <w:numPr>
          <w:ilvl w:val="1"/>
          <w:numId w:val="13"/>
        </w:numPr>
        <w:rPr>
          <w:lang w:val="en-GB"/>
        </w:rPr>
      </w:pPr>
      <w:r w:rsidRPr="00073A8E">
        <w:rPr>
          <w:lang w:val="en-GB"/>
        </w:rPr>
        <w:t>Cantabria</w:t>
      </w:r>
    </w:p>
    <w:p w14:paraId="3AD3C5B0" w14:textId="77777777" w:rsidR="00073A8E" w:rsidRPr="00073A8E" w:rsidRDefault="00073A8E" w:rsidP="00073A8E">
      <w:pPr>
        <w:pStyle w:val="ListParagraph"/>
        <w:numPr>
          <w:ilvl w:val="1"/>
          <w:numId w:val="13"/>
        </w:numPr>
        <w:rPr>
          <w:lang w:val="en-GB"/>
        </w:rPr>
      </w:pPr>
      <w:r w:rsidRPr="00073A8E">
        <w:rPr>
          <w:lang w:val="en-GB"/>
        </w:rPr>
        <w:t>Castile La Mancha</w:t>
      </w:r>
    </w:p>
    <w:p w14:paraId="6953C65B" w14:textId="77777777" w:rsidR="00073A8E" w:rsidRPr="00073A8E" w:rsidRDefault="00073A8E" w:rsidP="00073A8E">
      <w:pPr>
        <w:pStyle w:val="ListParagraph"/>
        <w:numPr>
          <w:ilvl w:val="1"/>
          <w:numId w:val="13"/>
        </w:numPr>
        <w:rPr>
          <w:lang w:val="en-GB"/>
        </w:rPr>
      </w:pPr>
      <w:r w:rsidRPr="00073A8E">
        <w:rPr>
          <w:lang w:val="en-GB"/>
        </w:rPr>
        <w:t>Castile León</w:t>
      </w:r>
    </w:p>
    <w:p w14:paraId="4DED6D98" w14:textId="77777777" w:rsidR="00073A8E" w:rsidRPr="00073A8E" w:rsidRDefault="00073A8E" w:rsidP="00073A8E">
      <w:pPr>
        <w:pStyle w:val="ListParagraph"/>
        <w:numPr>
          <w:ilvl w:val="1"/>
          <w:numId w:val="13"/>
        </w:numPr>
        <w:rPr>
          <w:lang w:val="en-GB"/>
        </w:rPr>
      </w:pPr>
      <w:r w:rsidRPr="00073A8E">
        <w:rPr>
          <w:lang w:val="en-GB"/>
        </w:rPr>
        <w:t>Catalonia</w:t>
      </w:r>
    </w:p>
    <w:p w14:paraId="28924693" w14:textId="77777777" w:rsidR="00073A8E" w:rsidRPr="00073A8E" w:rsidRDefault="00073A8E" w:rsidP="00073A8E">
      <w:pPr>
        <w:pStyle w:val="ListParagraph"/>
        <w:numPr>
          <w:ilvl w:val="1"/>
          <w:numId w:val="13"/>
        </w:numPr>
        <w:rPr>
          <w:lang w:val="en-GB"/>
        </w:rPr>
      </w:pPr>
      <w:r w:rsidRPr="00073A8E">
        <w:rPr>
          <w:lang w:val="en-GB"/>
        </w:rPr>
        <w:t>Ceuta</w:t>
      </w:r>
    </w:p>
    <w:p w14:paraId="0EAA2D87" w14:textId="77777777" w:rsidR="00073A8E" w:rsidRPr="00073A8E" w:rsidRDefault="00073A8E" w:rsidP="00073A8E">
      <w:pPr>
        <w:pStyle w:val="ListParagraph"/>
        <w:numPr>
          <w:ilvl w:val="1"/>
          <w:numId w:val="13"/>
        </w:numPr>
        <w:rPr>
          <w:lang w:val="en-GB"/>
        </w:rPr>
      </w:pPr>
      <w:r w:rsidRPr="00073A8E">
        <w:rPr>
          <w:lang w:val="en-GB"/>
        </w:rPr>
        <w:t>Extremadura</w:t>
      </w:r>
    </w:p>
    <w:p w14:paraId="31A14965" w14:textId="77777777" w:rsidR="00073A8E" w:rsidRPr="00073A8E" w:rsidRDefault="00073A8E" w:rsidP="00073A8E">
      <w:pPr>
        <w:pStyle w:val="ListParagraph"/>
        <w:numPr>
          <w:ilvl w:val="1"/>
          <w:numId w:val="13"/>
        </w:numPr>
        <w:rPr>
          <w:lang w:val="en-GB"/>
        </w:rPr>
      </w:pPr>
      <w:r w:rsidRPr="00073A8E">
        <w:rPr>
          <w:lang w:val="en-GB"/>
        </w:rPr>
        <w:t>Galicia</w:t>
      </w:r>
    </w:p>
    <w:p w14:paraId="138967C2" w14:textId="77777777" w:rsidR="00073A8E" w:rsidRPr="00073A8E" w:rsidRDefault="00073A8E" w:rsidP="00073A8E">
      <w:pPr>
        <w:pStyle w:val="ListParagraph"/>
        <w:numPr>
          <w:ilvl w:val="1"/>
          <w:numId w:val="13"/>
        </w:numPr>
        <w:rPr>
          <w:lang w:val="en-GB"/>
        </w:rPr>
      </w:pPr>
      <w:r w:rsidRPr="00073A8E">
        <w:rPr>
          <w:lang w:val="en-GB"/>
        </w:rPr>
        <w:t>La Rioja</w:t>
      </w:r>
    </w:p>
    <w:p w14:paraId="195E3C92" w14:textId="77777777" w:rsidR="00073A8E" w:rsidRPr="00073A8E" w:rsidRDefault="00073A8E" w:rsidP="00073A8E">
      <w:pPr>
        <w:pStyle w:val="ListParagraph"/>
        <w:numPr>
          <w:ilvl w:val="1"/>
          <w:numId w:val="13"/>
        </w:numPr>
        <w:rPr>
          <w:lang w:val="en-GB"/>
        </w:rPr>
      </w:pPr>
      <w:r w:rsidRPr="00073A8E">
        <w:rPr>
          <w:lang w:val="en-GB"/>
        </w:rPr>
        <w:t>Madrid</w:t>
      </w:r>
    </w:p>
    <w:p w14:paraId="4F465E44" w14:textId="77777777" w:rsidR="00073A8E" w:rsidRPr="00073A8E" w:rsidRDefault="00073A8E" w:rsidP="00073A8E">
      <w:pPr>
        <w:pStyle w:val="ListParagraph"/>
        <w:numPr>
          <w:ilvl w:val="1"/>
          <w:numId w:val="13"/>
        </w:numPr>
        <w:rPr>
          <w:lang w:val="en-GB"/>
        </w:rPr>
      </w:pPr>
      <w:r w:rsidRPr="00073A8E">
        <w:rPr>
          <w:lang w:val="en-GB"/>
        </w:rPr>
        <w:t>Melilla</w:t>
      </w:r>
    </w:p>
    <w:p w14:paraId="599B3D81" w14:textId="77777777" w:rsidR="00073A8E" w:rsidRPr="00073A8E" w:rsidRDefault="00073A8E" w:rsidP="00073A8E">
      <w:pPr>
        <w:pStyle w:val="ListParagraph"/>
        <w:numPr>
          <w:ilvl w:val="1"/>
          <w:numId w:val="13"/>
        </w:numPr>
        <w:rPr>
          <w:lang w:val="en-GB"/>
        </w:rPr>
      </w:pPr>
      <w:r w:rsidRPr="00073A8E">
        <w:rPr>
          <w:lang w:val="en-GB"/>
        </w:rPr>
        <w:t>Murcia</w:t>
      </w:r>
    </w:p>
    <w:p w14:paraId="33935FCC" w14:textId="77777777" w:rsidR="00073A8E" w:rsidRPr="00073A8E" w:rsidRDefault="00073A8E" w:rsidP="00073A8E">
      <w:pPr>
        <w:pStyle w:val="ListParagraph"/>
        <w:numPr>
          <w:ilvl w:val="1"/>
          <w:numId w:val="13"/>
        </w:numPr>
        <w:rPr>
          <w:lang w:val="en-GB"/>
        </w:rPr>
      </w:pPr>
      <w:r w:rsidRPr="00073A8E">
        <w:rPr>
          <w:lang w:val="en-GB"/>
        </w:rPr>
        <w:t>Navarra</w:t>
      </w:r>
    </w:p>
    <w:p w14:paraId="37CED819" w14:textId="77777777" w:rsidR="00073A8E" w:rsidRDefault="00073A8E" w:rsidP="00073A8E">
      <w:pPr>
        <w:pStyle w:val="ListParagraph"/>
        <w:numPr>
          <w:ilvl w:val="1"/>
          <w:numId w:val="13"/>
        </w:numPr>
        <w:rPr>
          <w:lang w:val="en-GB"/>
        </w:rPr>
      </w:pPr>
      <w:r w:rsidRPr="00073A8E">
        <w:rPr>
          <w:lang w:val="en-GB"/>
        </w:rPr>
        <w:t>Valencia</w:t>
      </w:r>
    </w:p>
    <w:p w14:paraId="1544F966" w14:textId="77777777" w:rsidR="00073A8E" w:rsidRDefault="00073A8E" w:rsidP="00073A8E">
      <w:pPr>
        <w:pStyle w:val="ListParagraph"/>
        <w:numPr>
          <w:ilvl w:val="0"/>
          <w:numId w:val="13"/>
        </w:numPr>
        <w:rPr>
          <w:lang w:val="en-GB"/>
        </w:rPr>
      </w:pPr>
      <w:r>
        <w:rPr>
          <w:lang w:val="en-GB"/>
        </w:rPr>
        <w:t>Sweden:</w:t>
      </w:r>
    </w:p>
    <w:p w14:paraId="12206805" w14:textId="77777777" w:rsidR="00073A8E" w:rsidRPr="00073A8E" w:rsidRDefault="00073A8E" w:rsidP="00073A8E">
      <w:pPr>
        <w:pStyle w:val="ListParagraph"/>
        <w:numPr>
          <w:ilvl w:val="1"/>
          <w:numId w:val="13"/>
        </w:numPr>
        <w:rPr>
          <w:lang w:val="en-GB"/>
        </w:rPr>
      </w:pPr>
      <w:r w:rsidRPr="00073A8E">
        <w:rPr>
          <w:lang w:val="en-GB"/>
        </w:rPr>
        <w:t>Greater Stockholm</w:t>
      </w:r>
    </w:p>
    <w:p w14:paraId="00433082" w14:textId="77777777" w:rsidR="00073A8E" w:rsidRPr="00073A8E" w:rsidRDefault="00073A8E" w:rsidP="00073A8E">
      <w:pPr>
        <w:pStyle w:val="ListParagraph"/>
        <w:numPr>
          <w:ilvl w:val="1"/>
          <w:numId w:val="13"/>
        </w:numPr>
        <w:rPr>
          <w:lang w:val="en-GB"/>
        </w:rPr>
      </w:pPr>
      <w:r w:rsidRPr="00073A8E">
        <w:rPr>
          <w:lang w:val="en-GB"/>
        </w:rPr>
        <w:t>Greater Gothenburg</w:t>
      </w:r>
    </w:p>
    <w:p w14:paraId="2CA8908B" w14:textId="77777777" w:rsidR="00073A8E" w:rsidRPr="00073A8E" w:rsidRDefault="00073A8E" w:rsidP="00073A8E">
      <w:pPr>
        <w:pStyle w:val="ListParagraph"/>
        <w:numPr>
          <w:ilvl w:val="1"/>
          <w:numId w:val="13"/>
        </w:numPr>
        <w:rPr>
          <w:lang w:val="en-GB"/>
        </w:rPr>
      </w:pPr>
      <w:r w:rsidRPr="00073A8E">
        <w:rPr>
          <w:lang w:val="en-GB"/>
        </w:rPr>
        <w:t>Greater Malmoe</w:t>
      </w:r>
    </w:p>
    <w:p w14:paraId="59BDE981" w14:textId="77777777" w:rsidR="00073A8E" w:rsidRPr="00073A8E" w:rsidRDefault="00073A8E" w:rsidP="00073A8E">
      <w:pPr>
        <w:pStyle w:val="ListParagraph"/>
        <w:numPr>
          <w:ilvl w:val="1"/>
          <w:numId w:val="13"/>
        </w:numPr>
        <w:rPr>
          <w:lang w:val="en-GB"/>
        </w:rPr>
      </w:pPr>
      <w:r w:rsidRPr="00073A8E">
        <w:rPr>
          <w:lang w:val="en-GB"/>
        </w:rPr>
        <w:t>South Sweden</w:t>
      </w:r>
    </w:p>
    <w:p w14:paraId="65B3ED40" w14:textId="77777777" w:rsidR="00073A8E" w:rsidRPr="00073A8E" w:rsidRDefault="00073A8E" w:rsidP="00073A8E">
      <w:pPr>
        <w:pStyle w:val="ListParagraph"/>
        <w:numPr>
          <w:ilvl w:val="1"/>
          <w:numId w:val="13"/>
        </w:numPr>
        <w:rPr>
          <w:lang w:val="en-GB"/>
        </w:rPr>
      </w:pPr>
      <w:r w:rsidRPr="00073A8E">
        <w:rPr>
          <w:lang w:val="en-GB"/>
        </w:rPr>
        <w:t>West Sweden</w:t>
      </w:r>
    </w:p>
    <w:p w14:paraId="42A1A5F6" w14:textId="77777777" w:rsidR="00073A8E" w:rsidRPr="00073A8E" w:rsidRDefault="00073A8E" w:rsidP="00073A8E">
      <w:pPr>
        <w:pStyle w:val="ListParagraph"/>
        <w:numPr>
          <w:ilvl w:val="1"/>
          <w:numId w:val="13"/>
        </w:numPr>
        <w:rPr>
          <w:lang w:val="en-GB"/>
        </w:rPr>
      </w:pPr>
      <w:r w:rsidRPr="00073A8E">
        <w:rPr>
          <w:lang w:val="en-GB"/>
        </w:rPr>
        <w:t>North Sweden</w:t>
      </w:r>
    </w:p>
    <w:p w14:paraId="4E68B5EB" w14:textId="77777777" w:rsidR="00073A8E" w:rsidRDefault="00073A8E" w:rsidP="00073A8E">
      <w:pPr>
        <w:pStyle w:val="ListParagraph"/>
        <w:numPr>
          <w:ilvl w:val="1"/>
          <w:numId w:val="13"/>
        </w:numPr>
        <w:rPr>
          <w:lang w:val="en-GB"/>
        </w:rPr>
      </w:pPr>
      <w:r w:rsidRPr="00073A8E">
        <w:rPr>
          <w:lang w:val="en-GB"/>
        </w:rPr>
        <w:t>East Sweden</w:t>
      </w:r>
    </w:p>
    <w:p w14:paraId="2217D343" w14:textId="77777777" w:rsidR="00073A8E" w:rsidRDefault="00073A8E" w:rsidP="00073A8E">
      <w:pPr>
        <w:pStyle w:val="ListParagraph"/>
        <w:numPr>
          <w:ilvl w:val="0"/>
          <w:numId w:val="13"/>
        </w:numPr>
        <w:rPr>
          <w:lang w:val="en-GB"/>
        </w:rPr>
      </w:pPr>
      <w:r>
        <w:rPr>
          <w:lang w:val="en-GB"/>
        </w:rPr>
        <w:t>United Kingdom [still to be decided]:</w:t>
      </w:r>
    </w:p>
    <w:p w14:paraId="0710717B" w14:textId="77777777" w:rsidR="00073A8E" w:rsidRPr="00073A8E" w:rsidRDefault="00073A8E" w:rsidP="00073A8E">
      <w:pPr>
        <w:pStyle w:val="ListParagraph"/>
        <w:numPr>
          <w:ilvl w:val="1"/>
          <w:numId w:val="13"/>
        </w:numPr>
        <w:rPr>
          <w:lang w:val="en-GB"/>
        </w:rPr>
      </w:pPr>
      <w:r w:rsidRPr="00073A8E">
        <w:rPr>
          <w:lang w:val="en-GB"/>
        </w:rPr>
        <w:t>East Anglia</w:t>
      </w:r>
    </w:p>
    <w:p w14:paraId="1CDE41BE" w14:textId="77777777" w:rsidR="00073A8E" w:rsidRPr="00073A8E" w:rsidRDefault="00073A8E" w:rsidP="00073A8E">
      <w:pPr>
        <w:pStyle w:val="ListParagraph"/>
        <w:numPr>
          <w:ilvl w:val="1"/>
          <w:numId w:val="13"/>
        </w:numPr>
        <w:rPr>
          <w:lang w:val="en-GB"/>
        </w:rPr>
      </w:pPr>
      <w:r w:rsidRPr="00073A8E">
        <w:rPr>
          <w:lang w:val="en-GB"/>
        </w:rPr>
        <w:t>East Midlands</w:t>
      </w:r>
    </w:p>
    <w:p w14:paraId="158CE97F" w14:textId="77777777" w:rsidR="00073A8E" w:rsidRPr="00073A8E" w:rsidRDefault="00073A8E" w:rsidP="00073A8E">
      <w:pPr>
        <w:pStyle w:val="ListParagraph"/>
        <w:numPr>
          <w:ilvl w:val="1"/>
          <w:numId w:val="13"/>
        </w:numPr>
        <w:rPr>
          <w:lang w:val="en-GB"/>
        </w:rPr>
      </w:pPr>
      <w:r w:rsidRPr="00073A8E">
        <w:rPr>
          <w:lang w:val="en-GB"/>
        </w:rPr>
        <w:t>London</w:t>
      </w:r>
    </w:p>
    <w:p w14:paraId="59E66DF3" w14:textId="77777777" w:rsidR="00073A8E" w:rsidRPr="00073A8E" w:rsidRDefault="00073A8E" w:rsidP="00073A8E">
      <w:pPr>
        <w:pStyle w:val="ListParagraph"/>
        <w:numPr>
          <w:ilvl w:val="1"/>
          <w:numId w:val="13"/>
        </w:numPr>
        <w:rPr>
          <w:lang w:val="en-GB"/>
        </w:rPr>
      </w:pPr>
      <w:r w:rsidRPr="00073A8E">
        <w:rPr>
          <w:lang w:val="en-GB"/>
        </w:rPr>
        <w:t>North</w:t>
      </w:r>
    </w:p>
    <w:p w14:paraId="7814E1AF" w14:textId="77777777" w:rsidR="00073A8E" w:rsidRPr="00073A8E" w:rsidRDefault="00073A8E" w:rsidP="00073A8E">
      <w:pPr>
        <w:pStyle w:val="ListParagraph"/>
        <w:numPr>
          <w:ilvl w:val="1"/>
          <w:numId w:val="13"/>
        </w:numPr>
        <w:rPr>
          <w:lang w:val="en-GB"/>
        </w:rPr>
      </w:pPr>
      <w:r w:rsidRPr="00073A8E">
        <w:rPr>
          <w:lang w:val="en-GB"/>
        </w:rPr>
        <w:t>North West</w:t>
      </w:r>
    </w:p>
    <w:p w14:paraId="5422F1AE" w14:textId="77777777" w:rsidR="00073A8E" w:rsidRPr="00073A8E" w:rsidRDefault="00073A8E" w:rsidP="00073A8E">
      <w:pPr>
        <w:pStyle w:val="ListParagraph"/>
        <w:numPr>
          <w:ilvl w:val="1"/>
          <w:numId w:val="13"/>
        </w:numPr>
        <w:rPr>
          <w:lang w:val="en-GB"/>
        </w:rPr>
      </w:pPr>
      <w:r w:rsidRPr="00073A8E">
        <w:rPr>
          <w:lang w:val="en-GB"/>
        </w:rPr>
        <w:t>Northern Ireland</w:t>
      </w:r>
    </w:p>
    <w:p w14:paraId="5B9E8AD5" w14:textId="77777777" w:rsidR="00073A8E" w:rsidRPr="00073A8E" w:rsidRDefault="00073A8E" w:rsidP="00073A8E">
      <w:pPr>
        <w:pStyle w:val="ListParagraph"/>
        <w:numPr>
          <w:ilvl w:val="1"/>
          <w:numId w:val="13"/>
        </w:numPr>
        <w:rPr>
          <w:lang w:val="en-GB"/>
        </w:rPr>
      </w:pPr>
      <w:r w:rsidRPr="00073A8E">
        <w:rPr>
          <w:lang w:val="en-GB"/>
        </w:rPr>
        <w:t>South East</w:t>
      </w:r>
    </w:p>
    <w:p w14:paraId="6C40F96C" w14:textId="77777777" w:rsidR="00073A8E" w:rsidRPr="00073A8E" w:rsidRDefault="00073A8E" w:rsidP="00073A8E">
      <w:pPr>
        <w:pStyle w:val="ListParagraph"/>
        <w:numPr>
          <w:ilvl w:val="1"/>
          <w:numId w:val="13"/>
        </w:numPr>
        <w:rPr>
          <w:lang w:val="en-GB"/>
        </w:rPr>
      </w:pPr>
      <w:r w:rsidRPr="00073A8E">
        <w:rPr>
          <w:lang w:val="en-GB"/>
        </w:rPr>
        <w:t>Scotland</w:t>
      </w:r>
    </w:p>
    <w:p w14:paraId="13ADA198" w14:textId="77777777" w:rsidR="00073A8E" w:rsidRPr="00073A8E" w:rsidRDefault="00073A8E" w:rsidP="00073A8E">
      <w:pPr>
        <w:pStyle w:val="ListParagraph"/>
        <w:numPr>
          <w:ilvl w:val="1"/>
          <w:numId w:val="13"/>
        </w:numPr>
        <w:rPr>
          <w:lang w:val="en-GB"/>
        </w:rPr>
      </w:pPr>
      <w:r w:rsidRPr="00073A8E">
        <w:rPr>
          <w:lang w:val="en-GB"/>
        </w:rPr>
        <w:t>South West</w:t>
      </w:r>
    </w:p>
    <w:p w14:paraId="071CF35A" w14:textId="77777777" w:rsidR="00073A8E" w:rsidRPr="00073A8E" w:rsidRDefault="00073A8E" w:rsidP="00073A8E">
      <w:pPr>
        <w:pStyle w:val="ListParagraph"/>
        <w:numPr>
          <w:ilvl w:val="1"/>
          <w:numId w:val="13"/>
        </w:numPr>
        <w:rPr>
          <w:lang w:val="en-GB"/>
        </w:rPr>
      </w:pPr>
      <w:r w:rsidRPr="00073A8E">
        <w:rPr>
          <w:lang w:val="en-GB"/>
        </w:rPr>
        <w:t>Wales</w:t>
      </w:r>
    </w:p>
    <w:p w14:paraId="7CB080D5" w14:textId="77777777" w:rsidR="00073A8E" w:rsidRPr="00073A8E" w:rsidRDefault="00073A8E" w:rsidP="00073A8E">
      <w:pPr>
        <w:pStyle w:val="ListParagraph"/>
        <w:numPr>
          <w:ilvl w:val="1"/>
          <w:numId w:val="13"/>
        </w:numPr>
        <w:rPr>
          <w:lang w:val="en-GB"/>
        </w:rPr>
      </w:pPr>
      <w:r w:rsidRPr="00073A8E">
        <w:rPr>
          <w:lang w:val="en-GB"/>
        </w:rPr>
        <w:t>West Midlands</w:t>
      </w:r>
    </w:p>
    <w:p w14:paraId="1A4B73FA" w14:textId="77777777" w:rsidR="00073A8E" w:rsidRPr="00501F63" w:rsidRDefault="00073A8E" w:rsidP="00073A8E">
      <w:pPr>
        <w:pStyle w:val="ListParagraph"/>
        <w:numPr>
          <w:ilvl w:val="1"/>
          <w:numId w:val="13"/>
        </w:numPr>
        <w:rPr>
          <w:lang w:val="en-GB"/>
        </w:rPr>
      </w:pPr>
      <w:r w:rsidRPr="00073A8E">
        <w:rPr>
          <w:lang w:val="en-GB"/>
        </w:rPr>
        <w:t>Yorkshire and Humberside</w:t>
      </w:r>
    </w:p>
    <w:p w14:paraId="5BACF664" w14:textId="77777777" w:rsidR="00073A8E" w:rsidRDefault="00073A8E" w:rsidP="007C20D2">
      <w:pPr>
        <w:rPr>
          <w:lang w:val="en-GB"/>
        </w:rPr>
        <w:sectPr w:rsidR="00073A8E" w:rsidSect="00073A8E">
          <w:type w:val="continuous"/>
          <w:pgSz w:w="11906" w:h="16838"/>
          <w:pgMar w:top="1440" w:right="1440" w:bottom="1440" w:left="1440" w:header="708" w:footer="708" w:gutter="0"/>
          <w:cols w:num="2" w:space="708"/>
          <w:docGrid w:linePitch="360"/>
        </w:sectPr>
      </w:pPr>
    </w:p>
    <w:p w14:paraId="1575397D" w14:textId="77777777" w:rsidR="007C20D2" w:rsidRPr="007C20D2" w:rsidRDefault="007C20D2" w:rsidP="007C20D2">
      <w:pPr>
        <w:rPr>
          <w:lang w:val="en-GB"/>
        </w:rPr>
      </w:pPr>
    </w:p>
    <w:p w14:paraId="4D2B3E1C" w14:textId="2A36EE06" w:rsidR="007C20D2" w:rsidRDefault="00F57A39" w:rsidP="00563560">
      <w:pPr>
        <w:pStyle w:val="Heading3"/>
        <w:rPr>
          <w:lang w:val="en-GB"/>
        </w:rPr>
      </w:pPr>
      <w:bookmarkStart w:id="19" w:name="_Toc5714058"/>
      <w:r>
        <w:rPr>
          <w:lang w:val="en-GB"/>
        </w:rPr>
        <w:lastRenderedPageBreak/>
        <w:t>7.</w:t>
      </w:r>
      <w:r w:rsidR="00563560">
        <w:rPr>
          <w:lang w:val="en-GB"/>
        </w:rPr>
        <w:t>6. Breakdown by Interest Rate</w:t>
      </w:r>
      <w:bookmarkEnd w:id="19"/>
    </w:p>
    <w:p w14:paraId="0EFA9FE0" w14:textId="09DE0387" w:rsidR="00563560" w:rsidRDefault="00563560" w:rsidP="007C20D2">
      <w:pPr>
        <w:rPr>
          <w:lang w:val="en-GB"/>
        </w:rPr>
      </w:pPr>
      <w:r>
        <w:rPr>
          <w:lang w:val="en-GB"/>
        </w:rPr>
        <w:t xml:space="preserve">Please refer to section </w:t>
      </w:r>
      <w:r w:rsidR="00F57A39">
        <w:rPr>
          <w:lang w:val="en-GB"/>
        </w:rPr>
        <w:t>7.4</w:t>
      </w:r>
      <w:r>
        <w:rPr>
          <w:lang w:val="en-GB"/>
        </w:rPr>
        <w:t>. Breakdown by geography</w:t>
      </w:r>
    </w:p>
    <w:p w14:paraId="3FD416D6" w14:textId="66BB3B1F" w:rsidR="00563560" w:rsidRDefault="00F57A39" w:rsidP="00563560">
      <w:pPr>
        <w:pStyle w:val="Heading3"/>
        <w:rPr>
          <w:lang w:val="en-GB"/>
        </w:rPr>
      </w:pPr>
      <w:bookmarkStart w:id="20" w:name="_Toc5714059"/>
      <w:r>
        <w:rPr>
          <w:lang w:val="en-GB"/>
        </w:rPr>
        <w:t>7.</w:t>
      </w:r>
      <w:r w:rsidR="00563560">
        <w:rPr>
          <w:lang w:val="en-GB"/>
        </w:rPr>
        <w:t>7. Breakdown by Repayment Type</w:t>
      </w:r>
      <w:bookmarkEnd w:id="20"/>
    </w:p>
    <w:p w14:paraId="467CEE00" w14:textId="3CD5FDCB" w:rsidR="00563560" w:rsidRDefault="00563560" w:rsidP="00563560">
      <w:pPr>
        <w:rPr>
          <w:lang w:val="en-GB"/>
        </w:rPr>
      </w:pPr>
      <w:r>
        <w:rPr>
          <w:lang w:val="en-GB"/>
        </w:rPr>
        <w:t xml:space="preserve">Please refer to section </w:t>
      </w:r>
      <w:r w:rsidR="00F57A39">
        <w:rPr>
          <w:lang w:val="en-GB"/>
        </w:rPr>
        <w:t>7.</w:t>
      </w:r>
      <w:r>
        <w:rPr>
          <w:lang w:val="en-GB"/>
        </w:rPr>
        <w:t>4. Breakdown by geography</w:t>
      </w:r>
    </w:p>
    <w:p w14:paraId="41C3632C" w14:textId="5B231D35" w:rsidR="00563560" w:rsidRDefault="00F57A39" w:rsidP="00563560">
      <w:pPr>
        <w:pStyle w:val="Heading3"/>
        <w:rPr>
          <w:lang w:val="en-GB"/>
        </w:rPr>
      </w:pPr>
      <w:bookmarkStart w:id="21" w:name="_Toc5714060"/>
      <w:r>
        <w:rPr>
          <w:lang w:val="en-GB"/>
        </w:rPr>
        <w:t>7.</w:t>
      </w:r>
      <w:r w:rsidR="00563560">
        <w:rPr>
          <w:lang w:val="en-GB"/>
        </w:rPr>
        <w:t>8. Loan Seasoning</w:t>
      </w:r>
      <w:bookmarkEnd w:id="21"/>
    </w:p>
    <w:p w14:paraId="7FC05B68" w14:textId="24DD985A" w:rsidR="00563560" w:rsidRDefault="00563560" w:rsidP="00563560">
      <w:pPr>
        <w:rPr>
          <w:lang w:val="en-GB"/>
        </w:rPr>
      </w:pPr>
      <w:r>
        <w:rPr>
          <w:lang w:val="en-GB"/>
        </w:rPr>
        <w:t xml:space="preserve">Please refer to section </w:t>
      </w:r>
      <w:r w:rsidR="00F57A39">
        <w:rPr>
          <w:lang w:val="en-GB"/>
        </w:rPr>
        <w:t>7.</w:t>
      </w:r>
      <w:r>
        <w:rPr>
          <w:lang w:val="en-GB"/>
        </w:rPr>
        <w:t>4. Breakdown by geography</w:t>
      </w:r>
    </w:p>
    <w:p w14:paraId="117FAF7A" w14:textId="6A058A0F" w:rsidR="00563560" w:rsidRDefault="00F57A39" w:rsidP="00CA6F97">
      <w:pPr>
        <w:pStyle w:val="Heading3"/>
        <w:rPr>
          <w:lang w:val="en-GB"/>
        </w:rPr>
      </w:pPr>
      <w:bookmarkStart w:id="22" w:name="_Toc5714061"/>
      <w:r>
        <w:rPr>
          <w:lang w:val="en-GB"/>
        </w:rPr>
        <w:t xml:space="preserve">7.A - </w:t>
      </w:r>
      <w:r w:rsidR="00CA6F97">
        <w:rPr>
          <w:lang w:val="en-GB"/>
        </w:rPr>
        <w:t>10. Loan Size information</w:t>
      </w:r>
      <w:bookmarkEnd w:id="22"/>
      <w:r>
        <w:rPr>
          <w:lang w:val="en-GB"/>
        </w:rPr>
        <w:t xml:space="preserve"> and 7.B – 15. Loan Size information</w:t>
      </w:r>
    </w:p>
    <w:p w14:paraId="6486DB73" w14:textId="77777777" w:rsidR="00BB6E5B" w:rsidRPr="00BB6E5B" w:rsidRDefault="00CA6F97" w:rsidP="00BB6E5B">
      <w:pPr>
        <w:jc w:val="both"/>
        <w:rPr>
          <w:lang w:val="en-GB"/>
        </w:rPr>
      </w:pPr>
      <w:r>
        <w:rPr>
          <w:lang w:val="en-GB"/>
        </w:rPr>
        <w:t>Here below the bucket breakdown list for the loan size information in the different jurisdictions</w:t>
      </w:r>
      <w:r w:rsidR="0015358E">
        <w:rPr>
          <w:lang w:val="en-GB"/>
        </w:rPr>
        <w:t xml:space="preserve"> which are linked to their respective domestic currency</w:t>
      </w:r>
      <w:r w:rsidR="0015358E" w:rsidRPr="00BB6E5B">
        <w:rPr>
          <w:lang w:val="en-GB"/>
        </w:rPr>
        <w:t xml:space="preserve">. </w:t>
      </w:r>
      <w:r w:rsidR="00B30B9F" w:rsidRPr="00BB6E5B">
        <w:rPr>
          <w:lang w:val="en-GB"/>
        </w:rPr>
        <w:t>National coordinators are invited to ensure that issuers use the agreed breakdown for the loan size information as well as the same style of presentation</w:t>
      </w:r>
    </w:p>
    <w:p w14:paraId="2263EB4D" w14:textId="1BC15FD9" w:rsidR="00CA6F97" w:rsidRDefault="00CA6F97" w:rsidP="00BB6E5B">
      <w:pPr>
        <w:jc w:val="both"/>
        <w:rPr>
          <w:lang w:val="en-GB"/>
        </w:rPr>
      </w:pPr>
      <w:r>
        <w:rPr>
          <w:lang w:val="en-GB"/>
        </w:rPr>
        <w:t>Austria:</w:t>
      </w:r>
    </w:p>
    <w:tbl>
      <w:tblPr>
        <w:tblStyle w:val="TableGrid"/>
        <w:tblW w:w="0" w:type="auto"/>
        <w:tblInd w:w="360" w:type="dxa"/>
        <w:tblLook w:val="04A0" w:firstRow="1" w:lastRow="0" w:firstColumn="1" w:lastColumn="0" w:noHBand="0" w:noVBand="1"/>
      </w:tblPr>
      <w:tblGrid>
        <w:gridCol w:w="4326"/>
        <w:gridCol w:w="4330"/>
      </w:tblGrid>
      <w:tr w:rsidR="00CA6F97" w14:paraId="0B863093" w14:textId="77777777" w:rsidTr="00CA6F97">
        <w:tc>
          <w:tcPr>
            <w:tcW w:w="4508" w:type="dxa"/>
          </w:tcPr>
          <w:p w14:paraId="6E469ACC" w14:textId="010F3BC4" w:rsidR="00CA6F97" w:rsidRDefault="00CA6F97" w:rsidP="00CA6F97">
            <w:pPr>
              <w:rPr>
                <w:lang w:val="en-GB"/>
              </w:rPr>
            </w:pPr>
            <w:r>
              <w:rPr>
                <w:lang w:val="en-GB"/>
              </w:rPr>
              <w:t xml:space="preserve">Residential </w:t>
            </w:r>
            <w:r w:rsidR="009B04E2">
              <w:rPr>
                <w:lang w:val="en-GB"/>
              </w:rPr>
              <w:t>loans</w:t>
            </w:r>
          </w:p>
        </w:tc>
        <w:tc>
          <w:tcPr>
            <w:tcW w:w="4508" w:type="dxa"/>
          </w:tcPr>
          <w:p w14:paraId="25AD7C4C" w14:textId="77DCA67B" w:rsidR="00CA6F97" w:rsidRDefault="00CA6F97" w:rsidP="00CA6F97">
            <w:pPr>
              <w:rPr>
                <w:lang w:val="en-GB"/>
              </w:rPr>
            </w:pPr>
            <w:r>
              <w:rPr>
                <w:lang w:val="en-GB"/>
              </w:rPr>
              <w:t xml:space="preserve">Commercial </w:t>
            </w:r>
            <w:r w:rsidR="009B04E2">
              <w:rPr>
                <w:lang w:val="en-GB"/>
              </w:rPr>
              <w:t>loans</w:t>
            </w:r>
          </w:p>
        </w:tc>
      </w:tr>
      <w:tr w:rsidR="00CA6F97" w14:paraId="1FFF7F88" w14:textId="77777777" w:rsidTr="00CA6F97">
        <w:tc>
          <w:tcPr>
            <w:tcW w:w="4508" w:type="dxa"/>
          </w:tcPr>
          <w:p w14:paraId="36023D63" w14:textId="77777777" w:rsidR="00CA6F97" w:rsidRDefault="00D025A6" w:rsidP="00D025A6">
            <w:pPr>
              <w:rPr>
                <w:lang w:val="en-GB"/>
              </w:rPr>
            </w:pPr>
            <w:r w:rsidRPr="00D025A6">
              <w:rPr>
                <w:lang w:val="en-GB"/>
              </w:rPr>
              <w:t>&lt; 100.000</w:t>
            </w:r>
            <w:r>
              <w:rPr>
                <w:lang w:val="en-GB"/>
              </w:rPr>
              <w:br/>
            </w:r>
            <w:r w:rsidRPr="00D025A6">
              <w:rPr>
                <w:lang w:val="en-GB"/>
              </w:rPr>
              <w:t>100.000 - 300.000</w:t>
            </w:r>
            <w:r>
              <w:rPr>
                <w:lang w:val="en-GB"/>
              </w:rPr>
              <w:br/>
              <w:t>3</w:t>
            </w:r>
            <w:r w:rsidRPr="00D025A6">
              <w:rPr>
                <w:lang w:val="en-GB"/>
              </w:rPr>
              <w:t>00.000 - 500.000</w:t>
            </w:r>
            <w:r>
              <w:rPr>
                <w:lang w:val="en-GB"/>
              </w:rPr>
              <w:br/>
            </w:r>
            <w:r w:rsidRPr="00D025A6">
              <w:rPr>
                <w:lang w:val="en-GB"/>
              </w:rPr>
              <w:t>500.000 - 1.000.000</w:t>
            </w:r>
            <w:r>
              <w:rPr>
                <w:lang w:val="en-GB"/>
              </w:rPr>
              <w:br/>
            </w:r>
            <w:r w:rsidRPr="00D025A6">
              <w:rPr>
                <w:lang w:val="en-GB"/>
              </w:rPr>
              <w:t>1.000.000 - 5.000.000</w:t>
            </w:r>
            <w:r>
              <w:rPr>
                <w:lang w:val="en-GB"/>
              </w:rPr>
              <w:br/>
            </w:r>
            <w:r w:rsidRPr="00D025A6">
              <w:rPr>
                <w:lang w:val="en-GB"/>
              </w:rPr>
              <w:t>&gt; 5.000.000</w:t>
            </w:r>
          </w:p>
        </w:tc>
        <w:tc>
          <w:tcPr>
            <w:tcW w:w="4508" w:type="dxa"/>
          </w:tcPr>
          <w:p w14:paraId="0EF9CB78" w14:textId="77777777" w:rsidR="00CA6F97" w:rsidRDefault="00D025A6" w:rsidP="00D025A6">
            <w:pPr>
              <w:rPr>
                <w:lang w:val="en-GB"/>
              </w:rPr>
            </w:pPr>
            <w:r w:rsidRPr="00D025A6">
              <w:rPr>
                <w:lang w:val="en-GB"/>
              </w:rPr>
              <w:t>&lt; 100.000</w:t>
            </w:r>
            <w:r>
              <w:rPr>
                <w:lang w:val="en-GB"/>
              </w:rPr>
              <w:br/>
            </w:r>
            <w:r w:rsidRPr="00D025A6">
              <w:rPr>
                <w:lang w:val="en-GB"/>
              </w:rPr>
              <w:t>100.000 - 300.000</w:t>
            </w:r>
            <w:r>
              <w:rPr>
                <w:lang w:val="en-GB"/>
              </w:rPr>
              <w:br/>
            </w:r>
            <w:r w:rsidRPr="00D025A6">
              <w:rPr>
                <w:lang w:val="en-GB"/>
              </w:rPr>
              <w:t>300.000 - 500.000</w:t>
            </w:r>
            <w:r>
              <w:rPr>
                <w:lang w:val="en-GB"/>
              </w:rPr>
              <w:br/>
            </w:r>
            <w:r w:rsidRPr="00D025A6">
              <w:rPr>
                <w:lang w:val="en-GB"/>
              </w:rPr>
              <w:t>500.000 - 1.000.000</w:t>
            </w:r>
            <w:r>
              <w:rPr>
                <w:lang w:val="en-GB"/>
              </w:rPr>
              <w:br/>
            </w:r>
            <w:r w:rsidRPr="00D025A6">
              <w:rPr>
                <w:lang w:val="en-GB"/>
              </w:rPr>
              <w:t>1.000.000 - 5.000.000</w:t>
            </w:r>
            <w:r>
              <w:rPr>
                <w:lang w:val="en-GB"/>
              </w:rPr>
              <w:br/>
            </w:r>
            <w:r w:rsidRPr="00D025A6">
              <w:rPr>
                <w:lang w:val="en-GB"/>
              </w:rPr>
              <w:t>&gt; 5.000.000</w:t>
            </w:r>
          </w:p>
        </w:tc>
      </w:tr>
    </w:tbl>
    <w:p w14:paraId="27CC3C14" w14:textId="77777777" w:rsidR="00CA6F97" w:rsidRPr="00CA6F97" w:rsidRDefault="00CA6F97" w:rsidP="00CA6F97">
      <w:pPr>
        <w:ind w:left="360"/>
        <w:rPr>
          <w:lang w:val="en-GB"/>
        </w:rPr>
      </w:pPr>
    </w:p>
    <w:p w14:paraId="6129A388" w14:textId="77777777" w:rsidR="00CA6F97" w:rsidRDefault="00CA6F97" w:rsidP="00CA6F97">
      <w:pPr>
        <w:pStyle w:val="ListParagraph"/>
        <w:numPr>
          <w:ilvl w:val="0"/>
          <w:numId w:val="14"/>
        </w:numPr>
        <w:rPr>
          <w:lang w:val="en-GB"/>
        </w:rPr>
      </w:pPr>
      <w:r>
        <w:rPr>
          <w:lang w:val="en-GB"/>
        </w:rPr>
        <w:t>Belgium:</w:t>
      </w:r>
    </w:p>
    <w:tbl>
      <w:tblPr>
        <w:tblStyle w:val="TableGrid"/>
        <w:tblW w:w="0" w:type="auto"/>
        <w:tblInd w:w="360" w:type="dxa"/>
        <w:tblLook w:val="04A0" w:firstRow="1" w:lastRow="0" w:firstColumn="1" w:lastColumn="0" w:noHBand="0" w:noVBand="1"/>
      </w:tblPr>
      <w:tblGrid>
        <w:gridCol w:w="4326"/>
      </w:tblGrid>
      <w:tr w:rsidR="00934262" w14:paraId="08CA6E5F" w14:textId="77777777" w:rsidTr="00934262">
        <w:tc>
          <w:tcPr>
            <w:tcW w:w="4326" w:type="dxa"/>
          </w:tcPr>
          <w:p w14:paraId="15737133" w14:textId="09780A7B" w:rsidR="00934262" w:rsidRDefault="00934262" w:rsidP="00E53FCD">
            <w:pPr>
              <w:rPr>
                <w:lang w:val="en-GB"/>
              </w:rPr>
            </w:pPr>
            <w:r>
              <w:rPr>
                <w:lang w:val="en-GB"/>
              </w:rPr>
              <w:t xml:space="preserve">Residential </w:t>
            </w:r>
            <w:r w:rsidR="009B04E2">
              <w:rPr>
                <w:lang w:val="en-GB"/>
              </w:rPr>
              <w:t>loans</w:t>
            </w:r>
          </w:p>
        </w:tc>
      </w:tr>
      <w:tr w:rsidR="00934262" w:rsidRPr="00C31782" w14:paraId="62704BFD" w14:textId="77777777" w:rsidTr="00934262">
        <w:tc>
          <w:tcPr>
            <w:tcW w:w="4326" w:type="dxa"/>
          </w:tcPr>
          <w:p w14:paraId="58F8F8DE" w14:textId="77777777" w:rsidR="00934262" w:rsidRDefault="00934262" w:rsidP="00934262">
            <w:pPr>
              <w:rPr>
                <w:lang w:val="en-GB"/>
              </w:rPr>
            </w:pPr>
            <w:r w:rsidRPr="00934262">
              <w:rPr>
                <w:lang w:val="en-GB"/>
              </w:rPr>
              <w:t>&lt;=100K</w:t>
            </w:r>
            <w:r>
              <w:rPr>
                <w:lang w:val="en-GB"/>
              </w:rPr>
              <w:br/>
            </w:r>
            <w:r w:rsidRPr="00934262">
              <w:rPr>
                <w:lang w:val="en-GB"/>
              </w:rPr>
              <w:t>&gt;100K and &lt;=200K</w:t>
            </w:r>
            <w:r>
              <w:rPr>
                <w:lang w:val="en-GB"/>
              </w:rPr>
              <w:br/>
            </w:r>
            <w:r w:rsidRPr="00934262">
              <w:rPr>
                <w:lang w:val="en-GB"/>
              </w:rPr>
              <w:t>&gt;200K and &lt;=300K</w:t>
            </w:r>
            <w:r>
              <w:rPr>
                <w:lang w:val="en-GB"/>
              </w:rPr>
              <w:br/>
            </w:r>
            <w:r w:rsidRPr="00934262">
              <w:rPr>
                <w:lang w:val="en-GB"/>
              </w:rPr>
              <w:t>&gt;300K and &lt;=400K</w:t>
            </w:r>
            <w:r>
              <w:rPr>
                <w:lang w:val="en-GB"/>
              </w:rPr>
              <w:br/>
            </w:r>
            <w:r w:rsidRPr="00934262">
              <w:rPr>
                <w:lang w:val="en-GB"/>
              </w:rPr>
              <w:t>&gt;400K</w:t>
            </w:r>
          </w:p>
        </w:tc>
      </w:tr>
    </w:tbl>
    <w:p w14:paraId="092025F8" w14:textId="77777777" w:rsidR="00D025A6" w:rsidRPr="00D025A6" w:rsidRDefault="00D025A6" w:rsidP="00D025A6">
      <w:pPr>
        <w:rPr>
          <w:lang w:val="en-GB"/>
        </w:rPr>
      </w:pPr>
    </w:p>
    <w:p w14:paraId="315D54A4" w14:textId="77777777" w:rsidR="00CA6F97" w:rsidRDefault="00CA6F97" w:rsidP="00CA6F97">
      <w:pPr>
        <w:pStyle w:val="ListParagraph"/>
        <w:numPr>
          <w:ilvl w:val="0"/>
          <w:numId w:val="14"/>
        </w:numPr>
        <w:rPr>
          <w:lang w:val="en-GB"/>
        </w:rPr>
      </w:pPr>
      <w:r>
        <w:rPr>
          <w:lang w:val="en-GB"/>
        </w:rPr>
        <w:t>Canada:</w:t>
      </w:r>
    </w:p>
    <w:tbl>
      <w:tblPr>
        <w:tblStyle w:val="TableGrid"/>
        <w:tblW w:w="0" w:type="auto"/>
        <w:tblInd w:w="360" w:type="dxa"/>
        <w:tblLook w:val="04A0" w:firstRow="1" w:lastRow="0" w:firstColumn="1" w:lastColumn="0" w:noHBand="0" w:noVBand="1"/>
      </w:tblPr>
      <w:tblGrid>
        <w:gridCol w:w="4326"/>
      </w:tblGrid>
      <w:tr w:rsidR="00934262" w14:paraId="584E88A6" w14:textId="77777777" w:rsidTr="00E53FCD">
        <w:tc>
          <w:tcPr>
            <w:tcW w:w="4326" w:type="dxa"/>
          </w:tcPr>
          <w:p w14:paraId="6484DE3C" w14:textId="6B519AB7" w:rsidR="00934262" w:rsidRDefault="00934262" w:rsidP="00E53FCD">
            <w:pPr>
              <w:rPr>
                <w:lang w:val="en-GB"/>
              </w:rPr>
            </w:pPr>
            <w:r>
              <w:rPr>
                <w:lang w:val="en-GB"/>
              </w:rPr>
              <w:t xml:space="preserve">Residential </w:t>
            </w:r>
            <w:r w:rsidR="009B04E2">
              <w:rPr>
                <w:lang w:val="en-GB"/>
              </w:rPr>
              <w:t>loans</w:t>
            </w:r>
          </w:p>
        </w:tc>
      </w:tr>
      <w:tr w:rsidR="00934262" w:rsidRPr="00934262" w14:paraId="5C4256C8" w14:textId="77777777" w:rsidTr="00E53FCD">
        <w:tc>
          <w:tcPr>
            <w:tcW w:w="4326" w:type="dxa"/>
          </w:tcPr>
          <w:p w14:paraId="57DD34E0" w14:textId="77777777" w:rsidR="00934262" w:rsidRDefault="00934262" w:rsidP="00934262">
            <w:pPr>
              <w:rPr>
                <w:lang w:val="en-GB"/>
              </w:rPr>
            </w:pPr>
            <w:r w:rsidRPr="00934262">
              <w:rPr>
                <w:lang w:val="en-GB"/>
              </w:rPr>
              <w:t>99,999 and below</w:t>
            </w:r>
            <w:r>
              <w:rPr>
                <w:lang w:val="en-GB"/>
              </w:rPr>
              <w:br/>
              <w:t>1</w:t>
            </w:r>
            <w:r w:rsidRPr="00934262">
              <w:rPr>
                <w:lang w:val="en-GB"/>
              </w:rPr>
              <w:t>00,000 - 199,999</w:t>
            </w:r>
            <w:r>
              <w:rPr>
                <w:lang w:val="en-GB"/>
              </w:rPr>
              <w:br/>
            </w:r>
            <w:r w:rsidRPr="00934262">
              <w:rPr>
                <w:lang w:val="en-GB"/>
              </w:rPr>
              <w:t>200,000 - 299,999</w:t>
            </w:r>
            <w:r>
              <w:rPr>
                <w:lang w:val="en-GB"/>
              </w:rPr>
              <w:br/>
            </w:r>
            <w:r w:rsidRPr="00934262">
              <w:rPr>
                <w:lang w:val="en-GB"/>
              </w:rPr>
              <w:lastRenderedPageBreak/>
              <w:t>300,000 - 399,999</w:t>
            </w:r>
            <w:r>
              <w:rPr>
                <w:lang w:val="en-GB"/>
              </w:rPr>
              <w:br/>
            </w:r>
            <w:r w:rsidRPr="00934262">
              <w:rPr>
                <w:lang w:val="en-GB"/>
              </w:rPr>
              <w:t>400,000 - 499,999</w:t>
            </w:r>
            <w:r>
              <w:rPr>
                <w:lang w:val="en-GB"/>
              </w:rPr>
              <w:br/>
            </w:r>
            <w:r w:rsidRPr="00934262">
              <w:rPr>
                <w:lang w:val="en-GB"/>
              </w:rPr>
              <w:t>500,000 - 599,999</w:t>
            </w:r>
            <w:r>
              <w:rPr>
                <w:lang w:val="en-GB"/>
              </w:rPr>
              <w:br/>
            </w:r>
            <w:r w:rsidRPr="00934262">
              <w:rPr>
                <w:lang w:val="en-GB"/>
              </w:rPr>
              <w:t>600,000 - 699,999</w:t>
            </w:r>
            <w:r>
              <w:rPr>
                <w:lang w:val="en-GB"/>
              </w:rPr>
              <w:br/>
            </w:r>
            <w:r w:rsidRPr="00934262">
              <w:rPr>
                <w:lang w:val="en-GB"/>
              </w:rPr>
              <w:t>700,000 - 799,999</w:t>
            </w:r>
            <w:r>
              <w:rPr>
                <w:lang w:val="en-GB"/>
              </w:rPr>
              <w:br/>
            </w:r>
            <w:r w:rsidRPr="00934262">
              <w:rPr>
                <w:lang w:val="en-GB"/>
              </w:rPr>
              <w:t>800,000 - 899,999</w:t>
            </w:r>
            <w:r>
              <w:rPr>
                <w:lang w:val="en-GB"/>
              </w:rPr>
              <w:br/>
            </w:r>
            <w:r w:rsidRPr="00934262">
              <w:rPr>
                <w:lang w:val="en-GB"/>
              </w:rPr>
              <w:t>900,000 - 999,999</w:t>
            </w:r>
            <w:r>
              <w:rPr>
                <w:lang w:val="en-GB"/>
              </w:rPr>
              <w:br/>
            </w:r>
            <w:r w:rsidRPr="00934262">
              <w:rPr>
                <w:lang w:val="en-GB"/>
              </w:rPr>
              <w:t>1,000,000 and above</w:t>
            </w:r>
          </w:p>
        </w:tc>
      </w:tr>
    </w:tbl>
    <w:p w14:paraId="78081596" w14:textId="77777777" w:rsidR="00934262" w:rsidRPr="00934262" w:rsidRDefault="00934262" w:rsidP="00934262">
      <w:pPr>
        <w:ind w:left="360"/>
        <w:rPr>
          <w:lang w:val="en-GB"/>
        </w:rPr>
      </w:pPr>
    </w:p>
    <w:p w14:paraId="69312103" w14:textId="77777777" w:rsidR="00CA6F97" w:rsidRDefault="00CA6F97" w:rsidP="00CA6F97">
      <w:pPr>
        <w:pStyle w:val="ListParagraph"/>
        <w:numPr>
          <w:ilvl w:val="0"/>
          <w:numId w:val="14"/>
        </w:numPr>
        <w:rPr>
          <w:lang w:val="en-GB"/>
        </w:rPr>
      </w:pPr>
      <w:r>
        <w:rPr>
          <w:lang w:val="en-GB"/>
        </w:rPr>
        <w:t>Denmark:</w:t>
      </w:r>
    </w:p>
    <w:tbl>
      <w:tblPr>
        <w:tblStyle w:val="TableGrid"/>
        <w:tblW w:w="7819" w:type="dxa"/>
        <w:tblInd w:w="360" w:type="dxa"/>
        <w:tblLayout w:type="fixed"/>
        <w:tblLook w:val="04A0" w:firstRow="1" w:lastRow="0" w:firstColumn="1" w:lastColumn="0" w:noHBand="0" w:noVBand="1"/>
      </w:tblPr>
      <w:tblGrid>
        <w:gridCol w:w="2612"/>
        <w:gridCol w:w="5207"/>
      </w:tblGrid>
      <w:tr w:rsidR="00F51819" w14:paraId="3432E841" w14:textId="77777777" w:rsidTr="00F51819">
        <w:trPr>
          <w:trHeight w:val="179"/>
        </w:trPr>
        <w:tc>
          <w:tcPr>
            <w:tcW w:w="2612" w:type="dxa"/>
          </w:tcPr>
          <w:p w14:paraId="1CCC644E" w14:textId="1C46CD67" w:rsidR="00F51819" w:rsidRDefault="00F51819" w:rsidP="00B67BE8">
            <w:pPr>
              <w:rPr>
                <w:lang w:val="en-GB"/>
              </w:rPr>
            </w:pPr>
            <w:r>
              <w:rPr>
                <w:lang w:val="en-GB"/>
              </w:rPr>
              <w:t xml:space="preserve">Residential </w:t>
            </w:r>
            <w:r w:rsidR="009B04E2">
              <w:rPr>
                <w:lang w:val="en-GB"/>
              </w:rPr>
              <w:t>loans</w:t>
            </w:r>
          </w:p>
        </w:tc>
        <w:tc>
          <w:tcPr>
            <w:tcW w:w="5207" w:type="dxa"/>
          </w:tcPr>
          <w:p w14:paraId="6830D39C" w14:textId="36F3CD13" w:rsidR="00F51819" w:rsidRDefault="00F51819" w:rsidP="00B67BE8">
            <w:pPr>
              <w:rPr>
                <w:lang w:val="en-GB"/>
              </w:rPr>
            </w:pPr>
            <w:r>
              <w:rPr>
                <w:lang w:val="en-GB"/>
              </w:rPr>
              <w:t xml:space="preserve">Commercial </w:t>
            </w:r>
            <w:r w:rsidR="009B04E2">
              <w:rPr>
                <w:lang w:val="en-GB"/>
              </w:rPr>
              <w:t>loans</w:t>
            </w:r>
          </w:p>
        </w:tc>
      </w:tr>
      <w:tr w:rsidR="00F51819" w:rsidRPr="00C31782" w14:paraId="11C6985B" w14:textId="77777777" w:rsidTr="00F51819">
        <w:trPr>
          <w:trHeight w:val="1800"/>
        </w:trPr>
        <w:tc>
          <w:tcPr>
            <w:tcW w:w="2612" w:type="dxa"/>
            <w:vAlign w:val="center"/>
          </w:tcPr>
          <w:p w14:paraId="2004E4A0" w14:textId="77777777" w:rsidR="00F51819" w:rsidRPr="00F51819" w:rsidRDefault="00F51819" w:rsidP="00F51819">
            <w:pPr>
              <w:spacing w:after="0" w:line="240" w:lineRule="auto"/>
              <w:rPr>
                <w:rFonts w:eastAsia="Times New Roman" w:cs="Calibri"/>
                <w:lang w:val="de-DE" w:eastAsia="en-GB"/>
              </w:rPr>
            </w:pPr>
            <w:r w:rsidRPr="00445BBA">
              <w:rPr>
                <w:rFonts w:eastAsia="Times New Roman" w:cs="Calibri"/>
                <w:lang w:val="de-DE" w:eastAsia="en-GB"/>
              </w:rPr>
              <w:t>DKK 0 - 2m</w:t>
            </w:r>
          </w:p>
          <w:p w14:paraId="76C38DE3" w14:textId="77777777" w:rsidR="00F51819" w:rsidRPr="00F51819" w:rsidRDefault="00F51819" w:rsidP="00F51819">
            <w:pPr>
              <w:spacing w:after="0" w:line="240" w:lineRule="auto"/>
              <w:rPr>
                <w:rFonts w:eastAsia="Times New Roman" w:cs="Calibri"/>
                <w:lang w:val="de-DE" w:eastAsia="en-GB"/>
              </w:rPr>
            </w:pPr>
            <w:r w:rsidRPr="00445BBA">
              <w:rPr>
                <w:rFonts w:eastAsia="Times New Roman" w:cs="Calibri"/>
                <w:lang w:val="de-DE" w:eastAsia="en-GB"/>
              </w:rPr>
              <w:t>DKK 2 - 5m</w:t>
            </w:r>
          </w:p>
          <w:p w14:paraId="47272D68" w14:textId="77777777" w:rsidR="00F51819" w:rsidRPr="00F51819" w:rsidRDefault="00F51819" w:rsidP="00F51819">
            <w:pPr>
              <w:spacing w:after="0" w:line="240" w:lineRule="auto"/>
              <w:rPr>
                <w:rFonts w:eastAsia="Times New Roman" w:cs="Calibri"/>
                <w:lang w:val="de-DE" w:eastAsia="en-GB"/>
              </w:rPr>
            </w:pPr>
            <w:r w:rsidRPr="00445BBA">
              <w:rPr>
                <w:rFonts w:eastAsia="Times New Roman" w:cs="Calibri"/>
                <w:lang w:val="de-DE" w:eastAsia="en-GB"/>
              </w:rPr>
              <w:t>DKK 5 - 20m</w:t>
            </w:r>
          </w:p>
          <w:p w14:paraId="4505D702" w14:textId="77777777" w:rsidR="00F51819" w:rsidRDefault="00F51819" w:rsidP="00F51819">
            <w:pPr>
              <w:spacing w:after="0" w:line="240" w:lineRule="auto"/>
              <w:rPr>
                <w:rFonts w:eastAsia="Times New Roman" w:cs="Calibri"/>
                <w:lang w:val="en-GB" w:eastAsia="en-GB"/>
              </w:rPr>
            </w:pPr>
            <w:r w:rsidRPr="00445BBA">
              <w:rPr>
                <w:rFonts w:eastAsia="Times New Roman" w:cs="Calibri"/>
                <w:lang w:val="en-GB" w:eastAsia="en-GB"/>
              </w:rPr>
              <w:t>DKK 20 - 50m</w:t>
            </w:r>
          </w:p>
          <w:p w14:paraId="0C16349B" w14:textId="77777777" w:rsidR="00F51819" w:rsidRDefault="00F51819" w:rsidP="00F51819">
            <w:pPr>
              <w:spacing w:after="0" w:line="240" w:lineRule="auto"/>
              <w:rPr>
                <w:rFonts w:eastAsia="Times New Roman" w:cs="Calibri"/>
                <w:lang w:val="en-GB" w:eastAsia="en-GB"/>
              </w:rPr>
            </w:pPr>
            <w:r w:rsidRPr="00445BBA">
              <w:rPr>
                <w:rFonts w:eastAsia="Times New Roman" w:cs="Calibri"/>
                <w:lang w:val="en-GB" w:eastAsia="en-GB"/>
              </w:rPr>
              <w:t>DKK 50 - 100m</w:t>
            </w:r>
          </w:p>
          <w:p w14:paraId="4AECDFB8" w14:textId="77777777" w:rsidR="00F51819" w:rsidRPr="00445BBA" w:rsidRDefault="00F51819" w:rsidP="00F51819">
            <w:pPr>
              <w:spacing w:after="0" w:line="240" w:lineRule="auto"/>
              <w:rPr>
                <w:rFonts w:eastAsia="Times New Roman" w:cs="Calibri"/>
                <w:lang w:val="en-GB" w:eastAsia="en-GB"/>
              </w:rPr>
            </w:pPr>
            <w:r w:rsidRPr="00445BBA">
              <w:rPr>
                <w:rFonts w:eastAsia="Times New Roman" w:cs="Calibri"/>
                <w:lang w:val="en-GB" w:eastAsia="en-GB"/>
              </w:rPr>
              <w:t>&gt; DKK 100m</w:t>
            </w:r>
          </w:p>
        </w:tc>
        <w:tc>
          <w:tcPr>
            <w:tcW w:w="5207" w:type="dxa"/>
          </w:tcPr>
          <w:p w14:paraId="7C4F85A2" w14:textId="77777777" w:rsidR="00F51819" w:rsidRPr="00F51819" w:rsidRDefault="00F51819" w:rsidP="00F51819">
            <w:pPr>
              <w:spacing w:line="240" w:lineRule="auto"/>
              <w:rPr>
                <w:lang w:val="de-DE"/>
              </w:rPr>
            </w:pPr>
            <w:r w:rsidRPr="00F51819">
              <w:rPr>
                <w:lang w:val="de-DE"/>
              </w:rPr>
              <w:t>DKK 0 - 2m</w:t>
            </w:r>
            <w:r>
              <w:rPr>
                <w:lang w:val="de-DE"/>
              </w:rPr>
              <w:br/>
            </w:r>
            <w:r w:rsidRPr="00F51819">
              <w:rPr>
                <w:lang w:val="de-DE"/>
              </w:rPr>
              <w:t>DKK 2 - 5m</w:t>
            </w:r>
            <w:r>
              <w:rPr>
                <w:lang w:val="de-DE"/>
              </w:rPr>
              <w:br/>
              <w:t>D</w:t>
            </w:r>
            <w:r w:rsidRPr="00F51819">
              <w:rPr>
                <w:lang w:val="de-DE"/>
              </w:rPr>
              <w:t>KK 5 - 20m</w:t>
            </w:r>
            <w:r>
              <w:rPr>
                <w:lang w:val="de-DE"/>
              </w:rPr>
              <w:br/>
            </w:r>
            <w:r w:rsidRPr="00F51819">
              <w:rPr>
                <w:lang w:val="de-DE"/>
              </w:rPr>
              <w:t>DKK 20 - 50m</w:t>
            </w:r>
            <w:r>
              <w:rPr>
                <w:lang w:val="de-DE"/>
              </w:rPr>
              <w:br/>
            </w:r>
            <w:r w:rsidRPr="00F51819">
              <w:rPr>
                <w:lang w:val="de-DE"/>
              </w:rPr>
              <w:t xml:space="preserve">DKK </w:t>
            </w:r>
            <w:r>
              <w:rPr>
                <w:lang w:val="de-DE"/>
              </w:rPr>
              <w:t>5</w:t>
            </w:r>
            <w:r w:rsidRPr="00F51819">
              <w:rPr>
                <w:lang w:val="de-DE"/>
              </w:rPr>
              <w:t xml:space="preserve">0 - </w:t>
            </w:r>
            <w:r>
              <w:rPr>
                <w:lang w:val="de-DE"/>
              </w:rPr>
              <w:t>10</w:t>
            </w:r>
            <w:r w:rsidRPr="00F51819">
              <w:rPr>
                <w:lang w:val="de-DE"/>
              </w:rPr>
              <w:t>0m</w:t>
            </w:r>
            <w:r w:rsidRPr="00F51819">
              <w:rPr>
                <w:lang w:val="de-DE"/>
              </w:rPr>
              <w:br/>
              <w:t>&gt; DKK 100m</w:t>
            </w:r>
          </w:p>
        </w:tc>
      </w:tr>
    </w:tbl>
    <w:p w14:paraId="0ACFA252" w14:textId="77777777" w:rsidR="00B67BE8" w:rsidRPr="00F51819" w:rsidRDefault="00B67BE8" w:rsidP="00B67BE8">
      <w:pPr>
        <w:ind w:left="360"/>
        <w:rPr>
          <w:lang w:val="de-DE"/>
        </w:rPr>
      </w:pPr>
    </w:p>
    <w:p w14:paraId="5A92CD4C" w14:textId="77777777" w:rsidR="00CA6F97" w:rsidRDefault="00CA6F97" w:rsidP="00CA6F97">
      <w:pPr>
        <w:pStyle w:val="ListParagraph"/>
        <w:numPr>
          <w:ilvl w:val="0"/>
          <w:numId w:val="14"/>
        </w:numPr>
        <w:rPr>
          <w:lang w:val="en-GB"/>
        </w:rPr>
      </w:pPr>
      <w:r>
        <w:rPr>
          <w:lang w:val="en-GB"/>
        </w:rPr>
        <w:t>Finland</w:t>
      </w:r>
      <w:r w:rsidR="00F51819">
        <w:rPr>
          <w:lang w:val="en-GB"/>
        </w:rPr>
        <w:t>:</w:t>
      </w:r>
    </w:p>
    <w:tbl>
      <w:tblPr>
        <w:tblStyle w:val="TableGrid"/>
        <w:tblW w:w="0" w:type="auto"/>
        <w:tblInd w:w="360" w:type="dxa"/>
        <w:tblLook w:val="04A0" w:firstRow="1" w:lastRow="0" w:firstColumn="1" w:lastColumn="0" w:noHBand="0" w:noVBand="1"/>
      </w:tblPr>
      <w:tblGrid>
        <w:gridCol w:w="4326"/>
      </w:tblGrid>
      <w:tr w:rsidR="00F51819" w14:paraId="0133C1CF" w14:textId="77777777" w:rsidTr="00E53FCD">
        <w:tc>
          <w:tcPr>
            <w:tcW w:w="4326" w:type="dxa"/>
          </w:tcPr>
          <w:p w14:paraId="4CDACE93" w14:textId="7F318C0F" w:rsidR="00F51819" w:rsidRDefault="00F51819" w:rsidP="00E53FCD">
            <w:pPr>
              <w:rPr>
                <w:lang w:val="en-GB"/>
              </w:rPr>
            </w:pPr>
            <w:r>
              <w:rPr>
                <w:lang w:val="en-GB"/>
              </w:rPr>
              <w:t xml:space="preserve">Residential </w:t>
            </w:r>
            <w:r w:rsidR="00B0275C">
              <w:rPr>
                <w:lang w:val="en-GB"/>
              </w:rPr>
              <w:t>loans</w:t>
            </w:r>
          </w:p>
        </w:tc>
      </w:tr>
      <w:tr w:rsidR="00F51819" w:rsidRPr="00934262" w14:paraId="1FC28524" w14:textId="77777777" w:rsidTr="00E53FCD">
        <w:tc>
          <w:tcPr>
            <w:tcW w:w="4326" w:type="dxa"/>
          </w:tcPr>
          <w:p w14:paraId="399EE4F6" w14:textId="77777777" w:rsidR="00F51819" w:rsidRDefault="00F51819" w:rsidP="00F51819">
            <w:pPr>
              <w:rPr>
                <w:lang w:val="en-GB"/>
              </w:rPr>
            </w:pPr>
            <w:r w:rsidRPr="00F51819">
              <w:rPr>
                <w:lang w:val="en-GB"/>
              </w:rPr>
              <w:t>0 - 0,025000</w:t>
            </w:r>
            <w:r>
              <w:rPr>
                <w:lang w:val="en-GB"/>
              </w:rPr>
              <w:br/>
            </w:r>
            <w:r w:rsidRPr="00F51819">
              <w:rPr>
                <w:lang w:val="en-GB"/>
              </w:rPr>
              <w:t>0,025001 - 0,050000</w:t>
            </w:r>
            <w:r>
              <w:rPr>
                <w:lang w:val="en-GB"/>
              </w:rPr>
              <w:br/>
            </w:r>
            <w:r w:rsidRPr="00F51819">
              <w:rPr>
                <w:lang w:val="en-GB"/>
              </w:rPr>
              <w:t>0,050001 - 0,100000</w:t>
            </w:r>
            <w:r>
              <w:rPr>
                <w:lang w:val="en-GB"/>
              </w:rPr>
              <w:br/>
            </w:r>
            <w:r w:rsidRPr="00F51819">
              <w:rPr>
                <w:lang w:val="en-GB"/>
              </w:rPr>
              <w:t>0,100001 - 0,150000</w:t>
            </w:r>
            <w:r>
              <w:rPr>
                <w:lang w:val="en-GB"/>
              </w:rPr>
              <w:br/>
              <w:t>0</w:t>
            </w:r>
            <w:r w:rsidRPr="00F51819">
              <w:rPr>
                <w:lang w:val="en-GB"/>
              </w:rPr>
              <w:t>,150001 - 0,200 000</w:t>
            </w:r>
            <w:r>
              <w:rPr>
                <w:lang w:val="en-GB"/>
              </w:rPr>
              <w:br/>
            </w:r>
            <w:r w:rsidRPr="00F51819">
              <w:rPr>
                <w:lang w:val="en-GB"/>
              </w:rPr>
              <w:t>0,200001 - 0,250000</w:t>
            </w:r>
            <w:r>
              <w:rPr>
                <w:lang w:val="en-GB"/>
              </w:rPr>
              <w:br/>
            </w:r>
            <w:r w:rsidRPr="00F51819">
              <w:rPr>
                <w:lang w:val="en-GB"/>
              </w:rPr>
              <w:t>0,250001 - 0,300000</w:t>
            </w:r>
            <w:r>
              <w:rPr>
                <w:lang w:val="en-GB"/>
              </w:rPr>
              <w:br/>
            </w:r>
            <w:r w:rsidRPr="00F51819">
              <w:rPr>
                <w:lang w:val="en-GB"/>
              </w:rPr>
              <w:t>0,300001 -</w:t>
            </w:r>
          </w:p>
        </w:tc>
      </w:tr>
    </w:tbl>
    <w:p w14:paraId="047A77DE" w14:textId="77777777" w:rsidR="00F51819" w:rsidRPr="00F51819" w:rsidRDefault="00F51819" w:rsidP="00F51819">
      <w:pPr>
        <w:ind w:left="360"/>
        <w:rPr>
          <w:lang w:val="en-GB"/>
        </w:rPr>
      </w:pPr>
    </w:p>
    <w:p w14:paraId="6955458E" w14:textId="77777777" w:rsidR="00CA6F97" w:rsidRDefault="00CA6F97" w:rsidP="00CA6F97">
      <w:pPr>
        <w:pStyle w:val="ListParagraph"/>
        <w:numPr>
          <w:ilvl w:val="0"/>
          <w:numId w:val="14"/>
        </w:numPr>
        <w:rPr>
          <w:lang w:val="en-GB"/>
        </w:rPr>
      </w:pPr>
      <w:r>
        <w:rPr>
          <w:lang w:val="en-GB"/>
        </w:rPr>
        <w:t>France:</w:t>
      </w:r>
    </w:p>
    <w:tbl>
      <w:tblPr>
        <w:tblStyle w:val="TableGrid"/>
        <w:tblW w:w="0" w:type="auto"/>
        <w:tblInd w:w="360" w:type="dxa"/>
        <w:tblLook w:val="04A0" w:firstRow="1" w:lastRow="0" w:firstColumn="1" w:lastColumn="0" w:noHBand="0" w:noVBand="1"/>
      </w:tblPr>
      <w:tblGrid>
        <w:gridCol w:w="4353"/>
        <w:gridCol w:w="4303"/>
      </w:tblGrid>
      <w:tr w:rsidR="00D029E9" w14:paraId="437D4D1B" w14:textId="77777777" w:rsidTr="00D029E9">
        <w:tc>
          <w:tcPr>
            <w:tcW w:w="4353" w:type="dxa"/>
          </w:tcPr>
          <w:p w14:paraId="075A447D" w14:textId="459DC4B1" w:rsidR="00D029E9" w:rsidRDefault="00D029E9" w:rsidP="00E53FCD">
            <w:pPr>
              <w:rPr>
                <w:lang w:val="en-GB"/>
              </w:rPr>
            </w:pPr>
            <w:r>
              <w:rPr>
                <w:lang w:val="en-GB"/>
              </w:rPr>
              <w:t xml:space="preserve">Residential </w:t>
            </w:r>
            <w:r w:rsidR="00B0275C">
              <w:rPr>
                <w:lang w:val="en-GB"/>
              </w:rPr>
              <w:t>loans</w:t>
            </w:r>
          </w:p>
        </w:tc>
        <w:tc>
          <w:tcPr>
            <w:tcW w:w="4303" w:type="dxa"/>
          </w:tcPr>
          <w:p w14:paraId="2D02121A" w14:textId="030CB586" w:rsidR="00D029E9" w:rsidRDefault="00D029E9" w:rsidP="00E53FCD">
            <w:pPr>
              <w:rPr>
                <w:lang w:val="en-GB"/>
              </w:rPr>
            </w:pPr>
            <w:r>
              <w:rPr>
                <w:lang w:val="en-GB"/>
              </w:rPr>
              <w:t xml:space="preserve">Commercial </w:t>
            </w:r>
            <w:r w:rsidR="00B0275C">
              <w:rPr>
                <w:lang w:val="en-GB"/>
              </w:rPr>
              <w:t>loans</w:t>
            </w:r>
          </w:p>
        </w:tc>
      </w:tr>
      <w:tr w:rsidR="00D029E9" w:rsidRPr="00076A98" w14:paraId="043FAC5F" w14:textId="77777777" w:rsidTr="00D029E9">
        <w:tc>
          <w:tcPr>
            <w:tcW w:w="4353" w:type="dxa"/>
          </w:tcPr>
          <w:p w14:paraId="3903E099" w14:textId="77777777" w:rsidR="00D029E9" w:rsidRDefault="00D029E9" w:rsidP="003B67D2">
            <w:pPr>
              <w:rPr>
                <w:lang w:val="en-GB"/>
              </w:rPr>
            </w:pPr>
            <w:r w:rsidRPr="00AC1717">
              <w:rPr>
                <w:lang w:val="en-GB"/>
              </w:rPr>
              <w:t>&lt;=200.000,00</w:t>
            </w:r>
            <w:r>
              <w:rPr>
                <w:lang w:val="en-GB"/>
              </w:rPr>
              <w:br/>
            </w:r>
            <w:r w:rsidRPr="00AC1717">
              <w:rPr>
                <w:lang w:val="en-GB"/>
              </w:rPr>
              <w:t>&gt;200.000,00 &lt;=400.000,</w:t>
            </w:r>
            <w:r>
              <w:rPr>
                <w:lang w:val="en-GB"/>
              </w:rPr>
              <w:t>00</w:t>
            </w:r>
            <w:r>
              <w:rPr>
                <w:lang w:val="en-GB"/>
              </w:rPr>
              <w:br/>
            </w:r>
            <w:r w:rsidRPr="00AC1717">
              <w:rPr>
                <w:lang w:val="en-GB"/>
              </w:rPr>
              <w:t>&gt;400.000,00 &lt;=600.000,00</w:t>
            </w:r>
            <w:r>
              <w:rPr>
                <w:lang w:val="en-GB"/>
              </w:rPr>
              <w:br/>
            </w:r>
            <w:r w:rsidRPr="00AC1717">
              <w:rPr>
                <w:lang w:val="en-GB"/>
              </w:rPr>
              <w:t>&gt;600.000,00 &lt;=800.000,00</w:t>
            </w:r>
            <w:r>
              <w:rPr>
                <w:lang w:val="en-GB"/>
              </w:rPr>
              <w:br/>
            </w:r>
            <w:r w:rsidRPr="00AC1717">
              <w:rPr>
                <w:lang w:val="en-GB"/>
              </w:rPr>
              <w:lastRenderedPageBreak/>
              <w:t>&gt;800.000,00 &lt;=1.000.000,00</w:t>
            </w:r>
            <w:r>
              <w:rPr>
                <w:lang w:val="en-GB"/>
              </w:rPr>
              <w:br/>
            </w:r>
            <w:r w:rsidRPr="00AC1717">
              <w:rPr>
                <w:lang w:val="en-GB"/>
              </w:rPr>
              <w:t>1,000,000.00 &gt;</w:t>
            </w:r>
          </w:p>
        </w:tc>
        <w:tc>
          <w:tcPr>
            <w:tcW w:w="4303" w:type="dxa"/>
          </w:tcPr>
          <w:p w14:paraId="64CC149D" w14:textId="77777777" w:rsidR="00D029E9" w:rsidRPr="00AC1717" w:rsidRDefault="00D029E9" w:rsidP="003B67D2">
            <w:pPr>
              <w:rPr>
                <w:lang w:val="en-GB"/>
              </w:rPr>
            </w:pPr>
            <w:r w:rsidRPr="00AC1717">
              <w:rPr>
                <w:lang w:val="en-GB"/>
              </w:rPr>
              <w:lastRenderedPageBreak/>
              <w:t>&lt;=200.000,00</w:t>
            </w:r>
            <w:r>
              <w:rPr>
                <w:lang w:val="en-GB"/>
              </w:rPr>
              <w:br/>
            </w:r>
            <w:r w:rsidRPr="00AC1717">
              <w:rPr>
                <w:lang w:val="en-GB"/>
              </w:rPr>
              <w:t>&gt;200.000,00 &lt;=400.000,</w:t>
            </w:r>
            <w:r>
              <w:rPr>
                <w:lang w:val="en-GB"/>
              </w:rPr>
              <w:t>00</w:t>
            </w:r>
            <w:r>
              <w:rPr>
                <w:lang w:val="en-GB"/>
              </w:rPr>
              <w:br/>
            </w:r>
            <w:r w:rsidRPr="00AC1717">
              <w:rPr>
                <w:lang w:val="en-GB"/>
              </w:rPr>
              <w:t>&gt;400.000,00 &lt;=600.000,00</w:t>
            </w:r>
            <w:r>
              <w:rPr>
                <w:lang w:val="en-GB"/>
              </w:rPr>
              <w:br/>
            </w:r>
            <w:r w:rsidRPr="00AC1717">
              <w:rPr>
                <w:lang w:val="en-GB"/>
              </w:rPr>
              <w:t>&gt;600.000,00 &lt;=800.000,00</w:t>
            </w:r>
            <w:r>
              <w:rPr>
                <w:lang w:val="en-GB"/>
              </w:rPr>
              <w:br/>
            </w:r>
            <w:r w:rsidRPr="00AC1717">
              <w:rPr>
                <w:lang w:val="en-GB"/>
              </w:rPr>
              <w:lastRenderedPageBreak/>
              <w:t>&gt;800.000,00 &lt;=1.000.000,00</w:t>
            </w:r>
            <w:r>
              <w:rPr>
                <w:lang w:val="en-GB"/>
              </w:rPr>
              <w:br/>
            </w:r>
            <w:r w:rsidRPr="00AC1717">
              <w:rPr>
                <w:lang w:val="en-GB"/>
              </w:rPr>
              <w:t>1,000,000.00 &gt;</w:t>
            </w:r>
          </w:p>
        </w:tc>
      </w:tr>
    </w:tbl>
    <w:p w14:paraId="19C46A1E" w14:textId="77777777" w:rsidR="00AC1717" w:rsidRPr="00AC1717" w:rsidRDefault="00AC1717" w:rsidP="00AC1717">
      <w:pPr>
        <w:ind w:left="360"/>
        <w:rPr>
          <w:lang w:val="en-GB"/>
        </w:rPr>
      </w:pPr>
    </w:p>
    <w:p w14:paraId="1F27BDD1" w14:textId="77777777" w:rsidR="00CA6F97" w:rsidRDefault="00CA6F97" w:rsidP="00CA6F97">
      <w:pPr>
        <w:pStyle w:val="ListParagraph"/>
        <w:numPr>
          <w:ilvl w:val="0"/>
          <w:numId w:val="14"/>
        </w:numPr>
        <w:rPr>
          <w:lang w:val="en-GB"/>
        </w:rPr>
      </w:pPr>
      <w:r>
        <w:rPr>
          <w:lang w:val="en-GB"/>
        </w:rPr>
        <w:t>Germany:</w:t>
      </w:r>
    </w:p>
    <w:tbl>
      <w:tblPr>
        <w:tblStyle w:val="TableGrid"/>
        <w:tblW w:w="0" w:type="auto"/>
        <w:tblInd w:w="360" w:type="dxa"/>
        <w:tblLook w:val="04A0" w:firstRow="1" w:lastRow="0" w:firstColumn="1" w:lastColumn="0" w:noHBand="0" w:noVBand="1"/>
      </w:tblPr>
      <w:tblGrid>
        <w:gridCol w:w="4326"/>
        <w:gridCol w:w="4330"/>
      </w:tblGrid>
      <w:tr w:rsidR="002C6481" w14:paraId="418E3B06" w14:textId="77777777" w:rsidTr="002C6481">
        <w:tc>
          <w:tcPr>
            <w:tcW w:w="4508" w:type="dxa"/>
          </w:tcPr>
          <w:p w14:paraId="52A9C840" w14:textId="5BA68385" w:rsidR="002C6481" w:rsidRDefault="002C6481" w:rsidP="002C6481">
            <w:pPr>
              <w:rPr>
                <w:lang w:val="en-GB"/>
              </w:rPr>
            </w:pPr>
            <w:r>
              <w:rPr>
                <w:lang w:val="en-GB"/>
              </w:rPr>
              <w:t xml:space="preserve">Residential </w:t>
            </w:r>
            <w:r w:rsidR="00B0275C">
              <w:rPr>
                <w:lang w:val="en-GB"/>
              </w:rPr>
              <w:t>loans</w:t>
            </w:r>
          </w:p>
        </w:tc>
        <w:tc>
          <w:tcPr>
            <w:tcW w:w="4508" w:type="dxa"/>
          </w:tcPr>
          <w:p w14:paraId="56742A79" w14:textId="3BC5A7F5" w:rsidR="002C6481" w:rsidRDefault="00757614" w:rsidP="002C6481">
            <w:pPr>
              <w:rPr>
                <w:lang w:val="en-GB"/>
              </w:rPr>
            </w:pPr>
            <w:r>
              <w:rPr>
                <w:lang w:val="en-GB"/>
              </w:rPr>
              <w:t xml:space="preserve">Commercial </w:t>
            </w:r>
            <w:r w:rsidR="00B0275C">
              <w:rPr>
                <w:lang w:val="en-GB"/>
              </w:rPr>
              <w:t>loans</w:t>
            </w:r>
          </w:p>
        </w:tc>
      </w:tr>
      <w:tr w:rsidR="002C6481" w14:paraId="43583915" w14:textId="77777777" w:rsidTr="002C6481">
        <w:tc>
          <w:tcPr>
            <w:tcW w:w="4508" w:type="dxa"/>
          </w:tcPr>
          <w:p w14:paraId="087B3192" w14:textId="77777777" w:rsidR="002C6481" w:rsidRDefault="002C6481" w:rsidP="002C6481">
            <w:pPr>
              <w:rPr>
                <w:lang w:val="en-GB"/>
              </w:rPr>
            </w:pPr>
            <w:r w:rsidRPr="002C6481">
              <w:rPr>
                <w:lang w:val="en-GB"/>
              </w:rPr>
              <w:t>up to 300,000 Euros</w:t>
            </w:r>
            <w:r>
              <w:rPr>
                <w:lang w:val="en-GB"/>
              </w:rPr>
              <w:br/>
            </w:r>
            <w:r w:rsidRPr="002C6481">
              <w:rPr>
                <w:lang w:val="en-GB"/>
              </w:rPr>
              <w:t xml:space="preserve">more than 300,000 Euros up to 1 </w:t>
            </w:r>
            <w:proofErr w:type="spellStart"/>
            <w:r w:rsidRPr="002C6481">
              <w:rPr>
                <w:lang w:val="en-GB"/>
              </w:rPr>
              <w:t>mn</w:t>
            </w:r>
            <w:proofErr w:type="spellEnd"/>
            <w:r w:rsidRPr="002C6481">
              <w:rPr>
                <w:lang w:val="en-GB"/>
              </w:rPr>
              <w:t>. Euros</w:t>
            </w:r>
            <w:r>
              <w:rPr>
                <w:lang w:val="en-GB"/>
              </w:rPr>
              <w:br/>
            </w:r>
            <w:r w:rsidRPr="002C6481">
              <w:rPr>
                <w:lang w:val="en-GB"/>
              </w:rPr>
              <w:t xml:space="preserve">more than 1 </w:t>
            </w:r>
            <w:proofErr w:type="spellStart"/>
            <w:r w:rsidRPr="002C6481">
              <w:rPr>
                <w:lang w:val="en-GB"/>
              </w:rPr>
              <w:t>mn</w:t>
            </w:r>
            <w:proofErr w:type="spellEnd"/>
            <w:r w:rsidRPr="002C6481">
              <w:rPr>
                <w:lang w:val="en-GB"/>
              </w:rPr>
              <w:t xml:space="preserve">. Euros up to 10 </w:t>
            </w:r>
            <w:proofErr w:type="spellStart"/>
            <w:r w:rsidRPr="002C6481">
              <w:rPr>
                <w:lang w:val="en-GB"/>
              </w:rPr>
              <w:t>mn</w:t>
            </w:r>
            <w:proofErr w:type="spellEnd"/>
            <w:r w:rsidRPr="002C6481">
              <w:rPr>
                <w:lang w:val="en-GB"/>
              </w:rPr>
              <w:t>. Euros</w:t>
            </w:r>
            <w:r>
              <w:rPr>
                <w:lang w:val="en-GB"/>
              </w:rPr>
              <w:br/>
            </w:r>
            <w:r w:rsidRPr="002C6481">
              <w:rPr>
                <w:lang w:val="en-GB"/>
              </w:rPr>
              <w:t xml:space="preserve">more than 10 </w:t>
            </w:r>
            <w:proofErr w:type="spellStart"/>
            <w:r w:rsidRPr="002C6481">
              <w:rPr>
                <w:lang w:val="en-GB"/>
              </w:rPr>
              <w:t>mn</w:t>
            </w:r>
            <w:proofErr w:type="spellEnd"/>
            <w:r w:rsidRPr="002C6481">
              <w:rPr>
                <w:lang w:val="en-GB"/>
              </w:rPr>
              <w:t>. Euros</w:t>
            </w:r>
          </w:p>
        </w:tc>
        <w:tc>
          <w:tcPr>
            <w:tcW w:w="4508" w:type="dxa"/>
          </w:tcPr>
          <w:p w14:paraId="79296017" w14:textId="77777777" w:rsidR="002C6481" w:rsidRDefault="00757614" w:rsidP="002C6481">
            <w:pPr>
              <w:rPr>
                <w:lang w:val="en-GB"/>
              </w:rPr>
            </w:pPr>
            <w:r w:rsidRPr="002C6481">
              <w:rPr>
                <w:lang w:val="en-GB"/>
              </w:rPr>
              <w:t>up to 300,000 Euros</w:t>
            </w:r>
            <w:r>
              <w:rPr>
                <w:lang w:val="en-GB"/>
              </w:rPr>
              <w:br/>
            </w:r>
            <w:r w:rsidRPr="002C6481">
              <w:rPr>
                <w:lang w:val="en-GB"/>
              </w:rPr>
              <w:t xml:space="preserve">more than 300,000 Euros up to 1 </w:t>
            </w:r>
            <w:proofErr w:type="spellStart"/>
            <w:r w:rsidRPr="002C6481">
              <w:rPr>
                <w:lang w:val="en-GB"/>
              </w:rPr>
              <w:t>mn</w:t>
            </w:r>
            <w:proofErr w:type="spellEnd"/>
            <w:r w:rsidRPr="002C6481">
              <w:rPr>
                <w:lang w:val="en-GB"/>
              </w:rPr>
              <w:t>. Euros</w:t>
            </w:r>
            <w:r>
              <w:rPr>
                <w:lang w:val="en-GB"/>
              </w:rPr>
              <w:br/>
            </w:r>
            <w:r w:rsidRPr="002C6481">
              <w:rPr>
                <w:lang w:val="en-GB"/>
              </w:rPr>
              <w:t xml:space="preserve">more than 1 </w:t>
            </w:r>
            <w:proofErr w:type="spellStart"/>
            <w:r w:rsidRPr="002C6481">
              <w:rPr>
                <w:lang w:val="en-GB"/>
              </w:rPr>
              <w:t>mn</w:t>
            </w:r>
            <w:proofErr w:type="spellEnd"/>
            <w:r w:rsidRPr="002C6481">
              <w:rPr>
                <w:lang w:val="en-GB"/>
              </w:rPr>
              <w:t xml:space="preserve">. Euros up to 10 </w:t>
            </w:r>
            <w:proofErr w:type="spellStart"/>
            <w:r w:rsidRPr="002C6481">
              <w:rPr>
                <w:lang w:val="en-GB"/>
              </w:rPr>
              <w:t>mn</w:t>
            </w:r>
            <w:proofErr w:type="spellEnd"/>
            <w:r w:rsidRPr="002C6481">
              <w:rPr>
                <w:lang w:val="en-GB"/>
              </w:rPr>
              <w:t>. Euros</w:t>
            </w:r>
            <w:r>
              <w:rPr>
                <w:lang w:val="en-GB"/>
              </w:rPr>
              <w:br/>
            </w:r>
            <w:r w:rsidRPr="002C6481">
              <w:rPr>
                <w:lang w:val="en-GB"/>
              </w:rPr>
              <w:t xml:space="preserve">more than 10 </w:t>
            </w:r>
            <w:proofErr w:type="spellStart"/>
            <w:r w:rsidRPr="002C6481">
              <w:rPr>
                <w:lang w:val="en-GB"/>
              </w:rPr>
              <w:t>mn</w:t>
            </w:r>
            <w:proofErr w:type="spellEnd"/>
            <w:r w:rsidRPr="002C6481">
              <w:rPr>
                <w:lang w:val="en-GB"/>
              </w:rPr>
              <w:t>. Euros</w:t>
            </w:r>
          </w:p>
        </w:tc>
      </w:tr>
    </w:tbl>
    <w:p w14:paraId="2A92B5AB" w14:textId="77777777" w:rsidR="002C6481" w:rsidRPr="002C6481" w:rsidRDefault="002C6481" w:rsidP="002C6481">
      <w:pPr>
        <w:ind w:left="360"/>
        <w:rPr>
          <w:lang w:val="en-GB"/>
        </w:rPr>
      </w:pPr>
    </w:p>
    <w:p w14:paraId="59502F32" w14:textId="77777777" w:rsidR="00CA6F97" w:rsidRDefault="00CA6F97" w:rsidP="00CA6F97">
      <w:pPr>
        <w:pStyle w:val="ListParagraph"/>
        <w:numPr>
          <w:ilvl w:val="0"/>
          <w:numId w:val="14"/>
        </w:numPr>
        <w:rPr>
          <w:lang w:val="en-GB"/>
        </w:rPr>
      </w:pPr>
      <w:r>
        <w:rPr>
          <w:lang w:val="en-GB"/>
        </w:rPr>
        <w:t>Greece:</w:t>
      </w:r>
    </w:p>
    <w:tbl>
      <w:tblPr>
        <w:tblStyle w:val="TableGrid"/>
        <w:tblW w:w="0" w:type="auto"/>
        <w:tblInd w:w="360" w:type="dxa"/>
        <w:tblLook w:val="04A0" w:firstRow="1" w:lastRow="0" w:firstColumn="1" w:lastColumn="0" w:noHBand="0" w:noVBand="1"/>
      </w:tblPr>
      <w:tblGrid>
        <w:gridCol w:w="4455"/>
      </w:tblGrid>
      <w:tr w:rsidR="00076A98" w14:paraId="5BB58530" w14:textId="77777777" w:rsidTr="00076A98">
        <w:tc>
          <w:tcPr>
            <w:tcW w:w="4455" w:type="dxa"/>
          </w:tcPr>
          <w:p w14:paraId="742F7557" w14:textId="20EAE373" w:rsidR="00076A98" w:rsidRDefault="00076A98" w:rsidP="00E53FCD">
            <w:pPr>
              <w:rPr>
                <w:lang w:val="en-GB"/>
              </w:rPr>
            </w:pPr>
            <w:r>
              <w:rPr>
                <w:lang w:val="en-GB"/>
              </w:rPr>
              <w:t xml:space="preserve">Residential </w:t>
            </w:r>
            <w:r w:rsidR="00B0275C">
              <w:rPr>
                <w:lang w:val="en-GB"/>
              </w:rPr>
              <w:t>loans</w:t>
            </w:r>
          </w:p>
        </w:tc>
      </w:tr>
      <w:tr w:rsidR="00076A98" w:rsidRPr="00C31782" w14:paraId="2BA9569A" w14:textId="77777777" w:rsidTr="00076A98">
        <w:tc>
          <w:tcPr>
            <w:tcW w:w="4455" w:type="dxa"/>
          </w:tcPr>
          <w:p w14:paraId="5DC36292" w14:textId="77777777" w:rsidR="00076A98" w:rsidRDefault="00076A98" w:rsidP="00076A98">
            <w:pPr>
              <w:rPr>
                <w:lang w:val="en-GB"/>
              </w:rPr>
            </w:pPr>
            <w:r w:rsidRPr="00076A98">
              <w:rPr>
                <w:lang w:val="en-GB"/>
              </w:rPr>
              <w:t>up to 37,500 Euros</w:t>
            </w:r>
            <w:r>
              <w:rPr>
                <w:lang w:val="en-GB"/>
              </w:rPr>
              <w:br/>
            </w:r>
            <w:r w:rsidRPr="00076A98">
              <w:rPr>
                <w:lang w:val="en-GB"/>
              </w:rPr>
              <w:t>More than 37,500 Euros  up to 75,000 Euros</w:t>
            </w:r>
            <w:r>
              <w:rPr>
                <w:lang w:val="en-GB"/>
              </w:rPr>
              <w:br/>
            </w:r>
            <w:r w:rsidRPr="00076A98">
              <w:rPr>
                <w:lang w:val="en-GB"/>
              </w:rPr>
              <w:t>More than 75,000 Euros  up to 100,000 Euros</w:t>
            </w:r>
            <w:r>
              <w:rPr>
                <w:lang w:val="en-GB"/>
              </w:rPr>
              <w:br/>
            </w:r>
            <w:r w:rsidRPr="00076A98">
              <w:rPr>
                <w:lang w:val="en-GB"/>
              </w:rPr>
              <w:t>More than 100,000 Euros  up to 150,000 Euros</w:t>
            </w:r>
            <w:r>
              <w:rPr>
                <w:lang w:val="en-GB"/>
              </w:rPr>
              <w:br/>
            </w:r>
            <w:r w:rsidRPr="00076A98">
              <w:rPr>
                <w:lang w:val="en-GB"/>
              </w:rPr>
              <w:t>More than 150,000 Euros</w:t>
            </w:r>
          </w:p>
        </w:tc>
      </w:tr>
    </w:tbl>
    <w:p w14:paraId="1A6C2A70" w14:textId="77777777" w:rsidR="00076A98" w:rsidRPr="00076A98" w:rsidRDefault="00076A98" w:rsidP="00076A98">
      <w:pPr>
        <w:ind w:left="360"/>
        <w:rPr>
          <w:lang w:val="en-GB"/>
        </w:rPr>
      </w:pPr>
    </w:p>
    <w:p w14:paraId="42A4D205" w14:textId="77777777" w:rsidR="00CA6F97" w:rsidRDefault="00CA6F97" w:rsidP="00CA6F97">
      <w:pPr>
        <w:pStyle w:val="ListParagraph"/>
        <w:numPr>
          <w:ilvl w:val="0"/>
          <w:numId w:val="14"/>
        </w:numPr>
        <w:rPr>
          <w:lang w:val="en-GB"/>
        </w:rPr>
      </w:pPr>
      <w:r>
        <w:rPr>
          <w:lang w:val="en-GB"/>
        </w:rPr>
        <w:t>Ireland:</w:t>
      </w:r>
    </w:p>
    <w:tbl>
      <w:tblPr>
        <w:tblStyle w:val="TableGrid"/>
        <w:tblW w:w="0" w:type="auto"/>
        <w:tblInd w:w="360" w:type="dxa"/>
        <w:tblLook w:val="04A0" w:firstRow="1" w:lastRow="0" w:firstColumn="1" w:lastColumn="0" w:noHBand="0" w:noVBand="1"/>
      </w:tblPr>
      <w:tblGrid>
        <w:gridCol w:w="4351"/>
      </w:tblGrid>
      <w:tr w:rsidR="002C6481" w14:paraId="23CC7AE1" w14:textId="77777777" w:rsidTr="002C6481">
        <w:tc>
          <w:tcPr>
            <w:tcW w:w="4351" w:type="dxa"/>
          </w:tcPr>
          <w:p w14:paraId="4819E0A8" w14:textId="0DCC1C93" w:rsidR="002C6481" w:rsidRDefault="002C6481" w:rsidP="002C6481">
            <w:pPr>
              <w:rPr>
                <w:lang w:val="en-GB"/>
              </w:rPr>
            </w:pPr>
            <w:r>
              <w:rPr>
                <w:lang w:val="en-GB"/>
              </w:rPr>
              <w:t xml:space="preserve">Residential </w:t>
            </w:r>
            <w:r w:rsidR="00B0275C">
              <w:rPr>
                <w:lang w:val="en-GB"/>
              </w:rPr>
              <w:t>loans</w:t>
            </w:r>
          </w:p>
        </w:tc>
      </w:tr>
      <w:tr w:rsidR="002C6481" w14:paraId="781565C5" w14:textId="77777777" w:rsidTr="002C6481">
        <w:tc>
          <w:tcPr>
            <w:tcW w:w="4351" w:type="dxa"/>
          </w:tcPr>
          <w:p w14:paraId="7692C827" w14:textId="77777777" w:rsidR="002C6481" w:rsidRPr="006B6690" w:rsidRDefault="002C6481" w:rsidP="002C6481">
            <w:r w:rsidRPr="006B6690">
              <w:t>0-5k</w:t>
            </w:r>
            <w:r w:rsidR="00757614" w:rsidRPr="006B6690">
              <w:br/>
            </w:r>
            <w:r w:rsidRPr="006B6690">
              <w:t>5k-10k</w:t>
            </w:r>
            <w:r w:rsidRPr="006B6690">
              <w:br/>
              <w:t>10k-25k</w:t>
            </w:r>
            <w:r w:rsidRPr="006B6690">
              <w:br/>
              <w:t>25k-50k</w:t>
            </w:r>
            <w:r w:rsidRPr="006B6690">
              <w:br/>
              <w:t>50k-75k</w:t>
            </w:r>
            <w:r w:rsidRPr="006B6690">
              <w:br/>
              <w:t>75k-100k</w:t>
            </w:r>
            <w:r w:rsidRPr="006B6690">
              <w:br/>
              <w:t>100k-150k</w:t>
            </w:r>
            <w:r w:rsidRPr="006B6690">
              <w:br/>
              <w:t>150k-200k</w:t>
            </w:r>
            <w:r w:rsidRPr="006B6690">
              <w:br/>
              <w:t>200k-250k</w:t>
            </w:r>
            <w:r w:rsidRPr="006B6690">
              <w:br/>
              <w:t>250k-300k</w:t>
            </w:r>
            <w:r w:rsidRPr="006B6690">
              <w:br/>
              <w:t>300k-350k</w:t>
            </w:r>
            <w:r w:rsidRPr="006B6690">
              <w:br/>
              <w:t>350k-400k</w:t>
            </w:r>
            <w:r w:rsidRPr="006B6690">
              <w:br/>
              <w:t>400k-450k</w:t>
            </w:r>
            <w:r w:rsidRPr="006B6690">
              <w:br/>
              <w:t>450k-500k</w:t>
            </w:r>
            <w:r w:rsidRPr="006B6690">
              <w:br/>
            </w:r>
            <w:r w:rsidRPr="006B6690">
              <w:lastRenderedPageBreak/>
              <w:t>500k-600k</w:t>
            </w:r>
            <w:r w:rsidRPr="006B6690">
              <w:br/>
              <w:t>600k-700k</w:t>
            </w:r>
            <w:r w:rsidRPr="006B6690">
              <w:br/>
              <w:t>700k-800k</w:t>
            </w:r>
            <w:r w:rsidRPr="006B6690">
              <w:br/>
              <w:t>800k-900k</w:t>
            </w:r>
            <w:r w:rsidRPr="006B6690">
              <w:br/>
              <w:t>900k-1m</w:t>
            </w:r>
            <w:r w:rsidRPr="006B6690">
              <w:br/>
              <w:t>1m +</w:t>
            </w:r>
          </w:p>
        </w:tc>
      </w:tr>
    </w:tbl>
    <w:p w14:paraId="67EE1C18" w14:textId="77777777" w:rsidR="002C6481" w:rsidRPr="006B6690" w:rsidRDefault="002C6481" w:rsidP="002C6481">
      <w:pPr>
        <w:ind w:left="360"/>
      </w:pPr>
    </w:p>
    <w:p w14:paraId="34B8A35B" w14:textId="77777777" w:rsidR="00CA6F97" w:rsidRDefault="00CA6F97" w:rsidP="00CA6F97">
      <w:pPr>
        <w:pStyle w:val="ListParagraph"/>
        <w:numPr>
          <w:ilvl w:val="0"/>
          <w:numId w:val="14"/>
        </w:numPr>
        <w:rPr>
          <w:lang w:val="en-GB"/>
        </w:rPr>
      </w:pPr>
      <w:r>
        <w:rPr>
          <w:lang w:val="en-GB"/>
        </w:rPr>
        <w:t>Italy:</w:t>
      </w:r>
    </w:p>
    <w:tbl>
      <w:tblPr>
        <w:tblStyle w:val="TableGrid"/>
        <w:tblW w:w="0" w:type="auto"/>
        <w:tblInd w:w="360" w:type="dxa"/>
        <w:tblLook w:val="04A0" w:firstRow="1" w:lastRow="0" w:firstColumn="1" w:lastColumn="0" w:noHBand="0" w:noVBand="1"/>
      </w:tblPr>
      <w:tblGrid>
        <w:gridCol w:w="4326"/>
        <w:gridCol w:w="4330"/>
      </w:tblGrid>
      <w:tr w:rsidR="002C6481" w14:paraId="5099195F" w14:textId="77777777" w:rsidTr="002C6481">
        <w:tc>
          <w:tcPr>
            <w:tcW w:w="4508" w:type="dxa"/>
          </w:tcPr>
          <w:p w14:paraId="2A5F9D59" w14:textId="2C389A23" w:rsidR="002C6481" w:rsidRDefault="002C6481" w:rsidP="002C6481">
            <w:pPr>
              <w:rPr>
                <w:lang w:val="en-GB"/>
              </w:rPr>
            </w:pPr>
            <w:r>
              <w:rPr>
                <w:lang w:val="en-GB"/>
              </w:rPr>
              <w:t xml:space="preserve">Residential </w:t>
            </w:r>
            <w:r w:rsidR="00613FC4">
              <w:rPr>
                <w:lang w:val="en-GB"/>
              </w:rPr>
              <w:t>loans</w:t>
            </w:r>
          </w:p>
        </w:tc>
        <w:tc>
          <w:tcPr>
            <w:tcW w:w="4508" w:type="dxa"/>
          </w:tcPr>
          <w:p w14:paraId="31241728" w14:textId="59F0AE3C" w:rsidR="002C6481" w:rsidRDefault="002C6481" w:rsidP="002C6481">
            <w:pPr>
              <w:rPr>
                <w:lang w:val="en-GB"/>
              </w:rPr>
            </w:pPr>
            <w:r>
              <w:rPr>
                <w:lang w:val="en-GB"/>
              </w:rPr>
              <w:t xml:space="preserve">Commercial </w:t>
            </w:r>
            <w:r w:rsidR="00613FC4">
              <w:rPr>
                <w:lang w:val="en-GB"/>
              </w:rPr>
              <w:t>loans</w:t>
            </w:r>
          </w:p>
        </w:tc>
      </w:tr>
      <w:tr w:rsidR="002C6481" w:rsidRPr="00C31782" w14:paraId="6C29BE18" w14:textId="77777777" w:rsidTr="002C6481">
        <w:tc>
          <w:tcPr>
            <w:tcW w:w="4508" w:type="dxa"/>
          </w:tcPr>
          <w:p w14:paraId="1C6F2210" w14:textId="77777777" w:rsidR="002C6481" w:rsidRDefault="002C6481" w:rsidP="002C6481">
            <w:pPr>
              <w:rPr>
                <w:lang w:val="en-GB"/>
              </w:rPr>
            </w:pPr>
            <w:r w:rsidRPr="002C6481">
              <w:rPr>
                <w:lang w:val="en-GB"/>
              </w:rPr>
              <w:t>0 (included) – 10k</w:t>
            </w:r>
            <w:r>
              <w:rPr>
                <w:lang w:val="en-GB"/>
              </w:rPr>
              <w:br/>
            </w:r>
            <w:proofErr w:type="spellStart"/>
            <w:r>
              <w:rPr>
                <w:lang w:val="en-GB"/>
              </w:rPr>
              <w:t>1</w:t>
            </w:r>
            <w:r w:rsidRPr="002C6481">
              <w:rPr>
                <w:lang w:val="en-GB"/>
              </w:rPr>
              <w:t>0k</w:t>
            </w:r>
            <w:proofErr w:type="spellEnd"/>
            <w:r w:rsidRPr="002C6481">
              <w:rPr>
                <w:lang w:val="en-GB"/>
              </w:rPr>
              <w:t xml:space="preserve"> (Included) – 25k</w:t>
            </w:r>
            <w:r>
              <w:rPr>
                <w:lang w:val="en-GB"/>
              </w:rPr>
              <w:br/>
            </w:r>
            <w:proofErr w:type="spellStart"/>
            <w:r w:rsidRPr="002C6481">
              <w:rPr>
                <w:lang w:val="en-GB"/>
              </w:rPr>
              <w:t>25k</w:t>
            </w:r>
            <w:proofErr w:type="spellEnd"/>
            <w:r w:rsidRPr="002C6481">
              <w:rPr>
                <w:lang w:val="en-GB"/>
              </w:rPr>
              <w:t xml:space="preserve"> ( Included ) – 50k</w:t>
            </w:r>
            <w:r>
              <w:rPr>
                <w:lang w:val="en-GB"/>
              </w:rPr>
              <w:br/>
            </w:r>
            <w:proofErr w:type="spellStart"/>
            <w:r w:rsidRPr="002C6481">
              <w:rPr>
                <w:lang w:val="en-GB"/>
              </w:rPr>
              <w:t>50k</w:t>
            </w:r>
            <w:proofErr w:type="spellEnd"/>
            <w:r w:rsidRPr="002C6481">
              <w:rPr>
                <w:lang w:val="en-GB"/>
              </w:rPr>
              <w:t xml:space="preserve"> ( Included ) – 75k </w:t>
            </w:r>
            <w:r>
              <w:rPr>
                <w:lang w:val="en-GB"/>
              </w:rPr>
              <w:br/>
            </w:r>
            <w:proofErr w:type="spellStart"/>
            <w:r w:rsidRPr="002C6481">
              <w:rPr>
                <w:lang w:val="en-GB"/>
              </w:rPr>
              <w:t>75k</w:t>
            </w:r>
            <w:proofErr w:type="spellEnd"/>
            <w:r w:rsidRPr="002C6481">
              <w:rPr>
                <w:lang w:val="en-GB"/>
              </w:rPr>
              <w:t xml:space="preserve"> (Included) – 100k </w:t>
            </w:r>
            <w:r>
              <w:rPr>
                <w:lang w:val="en-GB"/>
              </w:rPr>
              <w:br/>
            </w:r>
            <w:proofErr w:type="spellStart"/>
            <w:r w:rsidRPr="002C6481">
              <w:rPr>
                <w:lang w:val="en-GB"/>
              </w:rPr>
              <w:t>100k</w:t>
            </w:r>
            <w:proofErr w:type="spellEnd"/>
            <w:r w:rsidRPr="002C6481">
              <w:rPr>
                <w:lang w:val="en-GB"/>
              </w:rPr>
              <w:t xml:space="preserve"> (Included) – 150k</w:t>
            </w:r>
            <w:r>
              <w:rPr>
                <w:lang w:val="en-GB"/>
              </w:rPr>
              <w:br/>
            </w:r>
            <w:proofErr w:type="spellStart"/>
            <w:r w:rsidRPr="002C6481">
              <w:rPr>
                <w:lang w:val="en-GB"/>
              </w:rPr>
              <w:t>150k</w:t>
            </w:r>
            <w:proofErr w:type="spellEnd"/>
            <w:r w:rsidRPr="002C6481">
              <w:rPr>
                <w:lang w:val="en-GB"/>
              </w:rPr>
              <w:t xml:space="preserve"> (Included) – 200k</w:t>
            </w:r>
            <w:r>
              <w:rPr>
                <w:lang w:val="en-GB"/>
              </w:rPr>
              <w:br/>
            </w:r>
            <w:proofErr w:type="spellStart"/>
            <w:r w:rsidRPr="002C6481">
              <w:rPr>
                <w:lang w:val="en-GB"/>
              </w:rPr>
              <w:t>200k</w:t>
            </w:r>
            <w:proofErr w:type="spellEnd"/>
            <w:r w:rsidRPr="002C6481">
              <w:rPr>
                <w:lang w:val="en-GB"/>
              </w:rPr>
              <w:t xml:space="preserve"> (Included) – 300k </w:t>
            </w:r>
            <w:r>
              <w:rPr>
                <w:lang w:val="en-GB"/>
              </w:rPr>
              <w:br/>
            </w:r>
            <w:r w:rsidRPr="002C6481">
              <w:rPr>
                <w:lang w:val="en-GB"/>
              </w:rPr>
              <w:t xml:space="preserve"> Over 300k (Included)</w:t>
            </w:r>
          </w:p>
        </w:tc>
        <w:tc>
          <w:tcPr>
            <w:tcW w:w="4508" w:type="dxa"/>
          </w:tcPr>
          <w:p w14:paraId="6E7A7D67" w14:textId="77777777" w:rsidR="002C6481" w:rsidRDefault="002C6481" w:rsidP="002C6481">
            <w:pPr>
              <w:rPr>
                <w:lang w:val="en-GB"/>
              </w:rPr>
            </w:pPr>
            <w:r w:rsidRPr="002C6481">
              <w:rPr>
                <w:lang w:val="en-GB"/>
              </w:rPr>
              <w:t>0 (included) – 10k</w:t>
            </w:r>
            <w:r>
              <w:rPr>
                <w:lang w:val="en-GB"/>
              </w:rPr>
              <w:br/>
            </w:r>
            <w:proofErr w:type="spellStart"/>
            <w:r w:rsidRPr="002C6481">
              <w:rPr>
                <w:lang w:val="en-GB"/>
              </w:rPr>
              <w:t>10k</w:t>
            </w:r>
            <w:proofErr w:type="spellEnd"/>
            <w:r w:rsidRPr="002C6481">
              <w:rPr>
                <w:lang w:val="en-GB"/>
              </w:rPr>
              <w:t xml:space="preserve"> (Included) – 25k</w:t>
            </w:r>
            <w:r>
              <w:rPr>
                <w:lang w:val="en-GB"/>
              </w:rPr>
              <w:br/>
            </w:r>
            <w:r w:rsidRPr="002C6481">
              <w:rPr>
                <w:lang w:val="en-GB"/>
              </w:rPr>
              <w:t xml:space="preserve"> </w:t>
            </w:r>
            <w:proofErr w:type="spellStart"/>
            <w:r w:rsidRPr="002C6481">
              <w:rPr>
                <w:lang w:val="en-GB"/>
              </w:rPr>
              <w:t>25k</w:t>
            </w:r>
            <w:proofErr w:type="spellEnd"/>
            <w:r w:rsidRPr="002C6481">
              <w:rPr>
                <w:lang w:val="en-GB"/>
              </w:rPr>
              <w:t xml:space="preserve"> ( Included ) – 50k</w:t>
            </w:r>
            <w:r>
              <w:rPr>
                <w:lang w:val="en-GB"/>
              </w:rPr>
              <w:br/>
            </w:r>
            <w:proofErr w:type="spellStart"/>
            <w:r w:rsidRPr="002C6481">
              <w:rPr>
                <w:lang w:val="en-GB"/>
              </w:rPr>
              <w:t>50k</w:t>
            </w:r>
            <w:proofErr w:type="spellEnd"/>
            <w:r w:rsidRPr="002C6481">
              <w:rPr>
                <w:lang w:val="en-GB"/>
              </w:rPr>
              <w:t xml:space="preserve"> ( Included ) – 75k </w:t>
            </w:r>
            <w:r>
              <w:rPr>
                <w:lang w:val="en-GB"/>
              </w:rPr>
              <w:br/>
            </w:r>
            <w:proofErr w:type="spellStart"/>
            <w:r w:rsidRPr="002C6481">
              <w:rPr>
                <w:lang w:val="en-GB"/>
              </w:rPr>
              <w:t>75k</w:t>
            </w:r>
            <w:proofErr w:type="spellEnd"/>
            <w:r w:rsidRPr="002C6481">
              <w:rPr>
                <w:lang w:val="en-GB"/>
              </w:rPr>
              <w:t xml:space="preserve"> (Included) – 100k    </w:t>
            </w:r>
            <w:r>
              <w:rPr>
                <w:lang w:val="en-GB"/>
              </w:rPr>
              <w:br/>
            </w:r>
            <w:proofErr w:type="spellStart"/>
            <w:r w:rsidRPr="002C6481">
              <w:rPr>
                <w:lang w:val="en-GB"/>
              </w:rPr>
              <w:t>100k</w:t>
            </w:r>
            <w:proofErr w:type="spellEnd"/>
            <w:r w:rsidRPr="002C6481">
              <w:rPr>
                <w:lang w:val="en-GB"/>
              </w:rPr>
              <w:t xml:space="preserve"> (Included) – 150k</w:t>
            </w:r>
            <w:r>
              <w:rPr>
                <w:lang w:val="en-GB"/>
              </w:rPr>
              <w:br/>
            </w:r>
            <w:proofErr w:type="spellStart"/>
            <w:r w:rsidRPr="002C6481">
              <w:rPr>
                <w:lang w:val="en-GB"/>
              </w:rPr>
              <w:t>150k</w:t>
            </w:r>
            <w:proofErr w:type="spellEnd"/>
            <w:r w:rsidRPr="002C6481">
              <w:rPr>
                <w:lang w:val="en-GB"/>
              </w:rPr>
              <w:t xml:space="preserve"> (Included) – 200k</w:t>
            </w:r>
            <w:r>
              <w:rPr>
                <w:lang w:val="en-GB"/>
              </w:rPr>
              <w:br/>
            </w:r>
            <w:proofErr w:type="spellStart"/>
            <w:r w:rsidRPr="002C6481">
              <w:rPr>
                <w:lang w:val="en-GB"/>
              </w:rPr>
              <w:t>200k</w:t>
            </w:r>
            <w:proofErr w:type="spellEnd"/>
            <w:r w:rsidRPr="002C6481">
              <w:rPr>
                <w:lang w:val="en-GB"/>
              </w:rPr>
              <w:t xml:space="preserve"> (Included) – 300k </w:t>
            </w:r>
            <w:r>
              <w:rPr>
                <w:lang w:val="en-GB"/>
              </w:rPr>
              <w:br/>
            </w:r>
            <w:r w:rsidRPr="002C6481">
              <w:rPr>
                <w:lang w:val="en-GB"/>
              </w:rPr>
              <w:t xml:space="preserve"> Over 300k (Included)</w:t>
            </w:r>
          </w:p>
        </w:tc>
      </w:tr>
    </w:tbl>
    <w:p w14:paraId="186E8B4B" w14:textId="77777777" w:rsidR="002C6481" w:rsidRPr="002C6481" w:rsidRDefault="002C6481" w:rsidP="002C6481">
      <w:pPr>
        <w:ind w:left="360"/>
        <w:rPr>
          <w:lang w:val="en-GB"/>
        </w:rPr>
      </w:pPr>
    </w:p>
    <w:p w14:paraId="63E2775D" w14:textId="77777777" w:rsidR="00CA6F97" w:rsidRDefault="00CA6F97" w:rsidP="00CA6F97">
      <w:pPr>
        <w:pStyle w:val="ListParagraph"/>
        <w:numPr>
          <w:ilvl w:val="0"/>
          <w:numId w:val="14"/>
        </w:numPr>
        <w:rPr>
          <w:lang w:val="en-GB"/>
        </w:rPr>
      </w:pPr>
      <w:r>
        <w:rPr>
          <w:lang w:val="en-GB"/>
        </w:rPr>
        <w:t>Netherlands:</w:t>
      </w:r>
    </w:p>
    <w:tbl>
      <w:tblPr>
        <w:tblStyle w:val="TableGrid"/>
        <w:tblW w:w="0" w:type="auto"/>
        <w:tblLook w:val="04A0" w:firstRow="1" w:lastRow="0" w:firstColumn="1" w:lastColumn="0" w:noHBand="0" w:noVBand="1"/>
      </w:tblPr>
      <w:tblGrid>
        <w:gridCol w:w="4508"/>
      </w:tblGrid>
      <w:tr w:rsidR="00726682" w14:paraId="572F0AF9" w14:textId="77777777" w:rsidTr="00494FDA">
        <w:tc>
          <w:tcPr>
            <w:tcW w:w="4508" w:type="dxa"/>
          </w:tcPr>
          <w:p w14:paraId="020A10B1" w14:textId="1DE8DA1C" w:rsidR="00726682" w:rsidRDefault="00726682" w:rsidP="00494FDA">
            <w:pPr>
              <w:rPr>
                <w:lang w:val="en-GB"/>
              </w:rPr>
            </w:pPr>
            <w:r>
              <w:rPr>
                <w:lang w:val="en-GB"/>
              </w:rPr>
              <w:t xml:space="preserve">Residential </w:t>
            </w:r>
            <w:r w:rsidR="00613FC4">
              <w:rPr>
                <w:lang w:val="en-GB"/>
              </w:rPr>
              <w:t>loans</w:t>
            </w:r>
          </w:p>
        </w:tc>
      </w:tr>
      <w:tr w:rsidR="00726682" w14:paraId="16DADA60" w14:textId="77777777" w:rsidTr="00494FDA">
        <w:tc>
          <w:tcPr>
            <w:tcW w:w="4508" w:type="dxa"/>
          </w:tcPr>
          <w:p w14:paraId="42C4E6E6" w14:textId="77777777" w:rsidR="00726682" w:rsidRDefault="00726682" w:rsidP="00494FDA">
            <w:pPr>
              <w:rPr>
                <w:lang w:val="en-GB"/>
              </w:rPr>
            </w:pPr>
            <w:r w:rsidRPr="00494FDA">
              <w:rPr>
                <w:lang w:val="en-GB"/>
              </w:rPr>
              <w:t>&lt;=25.000,00</w:t>
            </w:r>
            <w:r>
              <w:rPr>
                <w:lang w:val="en-GB"/>
              </w:rPr>
              <w:br/>
            </w:r>
            <w:r w:rsidRPr="00494FDA">
              <w:rPr>
                <w:lang w:val="en-GB"/>
              </w:rPr>
              <w:t>&gt;25.000,00 &lt;=50.000,00</w:t>
            </w:r>
            <w:r>
              <w:rPr>
                <w:lang w:val="en-GB"/>
              </w:rPr>
              <w:br/>
            </w:r>
            <w:r w:rsidRPr="00494FDA">
              <w:rPr>
                <w:lang w:val="en-GB"/>
              </w:rPr>
              <w:t>&gt;50.000,00 &lt;=75.000,00</w:t>
            </w:r>
            <w:r>
              <w:rPr>
                <w:lang w:val="en-GB"/>
              </w:rPr>
              <w:br/>
            </w:r>
            <w:r w:rsidRPr="00494FDA">
              <w:rPr>
                <w:lang w:val="en-GB"/>
              </w:rPr>
              <w:t>&gt;75.000,00 &lt;=100.000,00</w:t>
            </w:r>
            <w:r>
              <w:rPr>
                <w:lang w:val="en-GB"/>
              </w:rPr>
              <w:br/>
            </w:r>
            <w:r w:rsidRPr="00494FDA">
              <w:rPr>
                <w:lang w:val="en-GB"/>
              </w:rPr>
              <w:t>&gt;100.000,00 &lt;=150.000,00</w:t>
            </w:r>
            <w:r>
              <w:rPr>
                <w:lang w:val="en-GB"/>
              </w:rPr>
              <w:br/>
            </w:r>
            <w:r w:rsidRPr="00494FDA">
              <w:rPr>
                <w:lang w:val="en-GB"/>
              </w:rPr>
              <w:t>&gt;150.000,00 &lt;=200.000,00</w:t>
            </w:r>
            <w:r>
              <w:rPr>
                <w:lang w:val="en-GB"/>
              </w:rPr>
              <w:br/>
            </w:r>
            <w:r w:rsidRPr="00494FDA">
              <w:rPr>
                <w:lang w:val="en-GB"/>
              </w:rPr>
              <w:t>&gt;200.000,00 &lt;=250.000,00</w:t>
            </w:r>
            <w:r>
              <w:rPr>
                <w:lang w:val="en-GB"/>
              </w:rPr>
              <w:br/>
            </w:r>
            <w:r w:rsidRPr="00494FDA">
              <w:rPr>
                <w:lang w:val="en-GB"/>
              </w:rPr>
              <w:t>&gt;250.000,00 &lt;=300.000,00</w:t>
            </w:r>
            <w:r>
              <w:rPr>
                <w:lang w:val="en-GB"/>
              </w:rPr>
              <w:br/>
            </w:r>
            <w:r w:rsidRPr="00494FDA">
              <w:rPr>
                <w:lang w:val="en-GB"/>
              </w:rPr>
              <w:t>&gt;300.000,00 &lt;=350.000,00</w:t>
            </w:r>
            <w:r>
              <w:rPr>
                <w:lang w:val="en-GB"/>
              </w:rPr>
              <w:br/>
            </w:r>
            <w:r w:rsidRPr="00494FDA">
              <w:rPr>
                <w:lang w:val="en-GB"/>
              </w:rPr>
              <w:t>&gt;350.000,00 &lt;=400.000,00</w:t>
            </w:r>
            <w:r>
              <w:rPr>
                <w:lang w:val="en-GB"/>
              </w:rPr>
              <w:br/>
            </w:r>
            <w:r w:rsidRPr="00494FDA">
              <w:rPr>
                <w:lang w:val="en-GB"/>
              </w:rPr>
              <w:t>&gt;400.000,00 &lt;=450.000,00</w:t>
            </w:r>
            <w:r>
              <w:rPr>
                <w:lang w:val="en-GB"/>
              </w:rPr>
              <w:br/>
            </w:r>
            <w:r w:rsidRPr="00494FDA">
              <w:rPr>
                <w:lang w:val="en-GB"/>
              </w:rPr>
              <w:t>&gt;450.000,00 &lt;=500.000,00</w:t>
            </w:r>
            <w:r>
              <w:rPr>
                <w:lang w:val="en-GB"/>
              </w:rPr>
              <w:br/>
            </w:r>
            <w:r w:rsidRPr="00494FDA">
              <w:rPr>
                <w:lang w:val="en-GB"/>
              </w:rPr>
              <w:t>&gt;500.000,00 &lt;=550.000,00</w:t>
            </w:r>
            <w:r>
              <w:rPr>
                <w:lang w:val="en-GB"/>
              </w:rPr>
              <w:br/>
            </w:r>
            <w:r w:rsidRPr="00494FDA">
              <w:rPr>
                <w:lang w:val="en-GB"/>
              </w:rPr>
              <w:t>&gt;550.000,00 &lt;=600.000,00</w:t>
            </w:r>
            <w:r>
              <w:rPr>
                <w:lang w:val="en-GB"/>
              </w:rPr>
              <w:br/>
            </w:r>
            <w:r w:rsidRPr="00494FDA">
              <w:rPr>
                <w:lang w:val="en-GB"/>
              </w:rPr>
              <w:t>&gt;600.000,00 &lt;=650.000,00</w:t>
            </w:r>
            <w:r>
              <w:rPr>
                <w:lang w:val="en-GB"/>
              </w:rPr>
              <w:br/>
            </w:r>
            <w:r w:rsidRPr="00494FDA">
              <w:rPr>
                <w:lang w:val="en-GB"/>
              </w:rPr>
              <w:t>&gt;650.000,00 &lt;=700.000,00</w:t>
            </w:r>
            <w:r>
              <w:rPr>
                <w:lang w:val="en-GB"/>
              </w:rPr>
              <w:br/>
            </w:r>
            <w:r w:rsidRPr="00494FDA">
              <w:rPr>
                <w:lang w:val="en-GB"/>
              </w:rPr>
              <w:lastRenderedPageBreak/>
              <w:t>&gt;700.000,00 &lt;=750.000,00</w:t>
            </w:r>
            <w:r>
              <w:rPr>
                <w:lang w:val="en-GB"/>
              </w:rPr>
              <w:br/>
            </w:r>
            <w:r w:rsidRPr="00494FDA">
              <w:rPr>
                <w:lang w:val="en-GB"/>
              </w:rPr>
              <w:t>&gt;750.000,00 &lt;=800.000,00</w:t>
            </w:r>
            <w:r>
              <w:rPr>
                <w:lang w:val="en-GB"/>
              </w:rPr>
              <w:br/>
            </w:r>
            <w:r w:rsidRPr="00494FDA">
              <w:rPr>
                <w:lang w:val="en-GB"/>
              </w:rPr>
              <w:t>&gt;800.000,00 &lt;=850.000,00</w:t>
            </w:r>
            <w:r>
              <w:rPr>
                <w:lang w:val="en-GB"/>
              </w:rPr>
              <w:br/>
            </w:r>
            <w:r w:rsidRPr="00494FDA">
              <w:rPr>
                <w:lang w:val="en-GB"/>
              </w:rPr>
              <w:t>&gt;850.000,00 &lt;=900.000,00</w:t>
            </w:r>
            <w:r>
              <w:rPr>
                <w:lang w:val="en-GB"/>
              </w:rPr>
              <w:br/>
            </w:r>
            <w:r w:rsidRPr="00494FDA">
              <w:rPr>
                <w:lang w:val="en-GB"/>
              </w:rPr>
              <w:t>&gt;900.000,00 &lt;=950.000,00</w:t>
            </w:r>
            <w:r>
              <w:rPr>
                <w:lang w:val="en-GB"/>
              </w:rPr>
              <w:br/>
            </w:r>
            <w:r w:rsidRPr="00494FDA">
              <w:rPr>
                <w:lang w:val="en-GB"/>
              </w:rPr>
              <w:t>&gt;950.000,00 &lt;=1.000.000,00</w:t>
            </w:r>
            <w:r>
              <w:rPr>
                <w:lang w:val="en-GB"/>
              </w:rPr>
              <w:br/>
            </w:r>
            <w:r w:rsidRPr="00494FDA">
              <w:rPr>
                <w:lang w:val="en-GB"/>
              </w:rPr>
              <w:t>&gt;1.000.000,00</w:t>
            </w:r>
          </w:p>
        </w:tc>
      </w:tr>
    </w:tbl>
    <w:p w14:paraId="64F86007" w14:textId="77777777" w:rsidR="00494FDA" w:rsidRPr="00494FDA" w:rsidRDefault="00494FDA" w:rsidP="00494FDA">
      <w:pPr>
        <w:rPr>
          <w:lang w:val="en-GB"/>
        </w:rPr>
      </w:pPr>
    </w:p>
    <w:p w14:paraId="2788CD81" w14:textId="77777777" w:rsidR="00CA6F97" w:rsidRDefault="00CA6F97" w:rsidP="00CA6F97">
      <w:pPr>
        <w:pStyle w:val="ListParagraph"/>
        <w:numPr>
          <w:ilvl w:val="0"/>
          <w:numId w:val="14"/>
        </w:numPr>
        <w:rPr>
          <w:lang w:val="en-GB"/>
        </w:rPr>
      </w:pPr>
      <w:r>
        <w:rPr>
          <w:lang w:val="en-GB"/>
        </w:rPr>
        <w:t>Norway:</w:t>
      </w:r>
    </w:p>
    <w:tbl>
      <w:tblPr>
        <w:tblStyle w:val="TableGrid"/>
        <w:tblW w:w="0" w:type="auto"/>
        <w:tblLook w:val="04A0" w:firstRow="1" w:lastRow="0" w:firstColumn="1" w:lastColumn="0" w:noHBand="0" w:noVBand="1"/>
      </w:tblPr>
      <w:tblGrid>
        <w:gridCol w:w="2972"/>
      </w:tblGrid>
      <w:tr w:rsidR="007C5A2A" w14:paraId="33EDF56F" w14:textId="77777777" w:rsidTr="00255498">
        <w:tc>
          <w:tcPr>
            <w:tcW w:w="2972" w:type="dxa"/>
          </w:tcPr>
          <w:p w14:paraId="464082FD" w14:textId="77777777" w:rsidR="007C5A2A" w:rsidRDefault="007C5A2A" w:rsidP="00BF1D9E">
            <w:pPr>
              <w:rPr>
                <w:lang w:val="en-GB"/>
              </w:rPr>
            </w:pPr>
            <w:r>
              <w:rPr>
                <w:lang w:val="en-GB"/>
              </w:rPr>
              <w:t>Residential loan</w:t>
            </w:r>
            <w:r w:rsidR="00255498">
              <w:rPr>
                <w:lang w:val="en-GB"/>
              </w:rPr>
              <w:t>s:</w:t>
            </w:r>
          </w:p>
        </w:tc>
      </w:tr>
      <w:tr w:rsidR="007C5A2A" w14:paraId="7F3A69D7" w14:textId="77777777" w:rsidTr="00255498">
        <w:tc>
          <w:tcPr>
            <w:tcW w:w="2972" w:type="dxa"/>
          </w:tcPr>
          <w:p w14:paraId="4AED6EC7" w14:textId="77777777" w:rsidR="007C5A2A" w:rsidRPr="007C5A2A" w:rsidRDefault="007C5A2A" w:rsidP="007C5A2A">
            <w:pPr>
              <w:rPr>
                <w:lang w:val="en-GB"/>
              </w:rPr>
            </w:pPr>
            <w:r w:rsidRPr="007C5A2A">
              <w:rPr>
                <w:lang w:val="en-GB"/>
              </w:rPr>
              <w:t>Private individuals</w:t>
            </w:r>
            <w:r>
              <w:rPr>
                <w:lang w:val="en-GB"/>
              </w:rPr>
              <w:br/>
            </w:r>
            <w:r w:rsidRPr="007C5A2A">
              <w:rPr>
                <w:lang w:val="en-GB"/>
              </w:rPr>
              <w:t xml:space="preserve"> ≤ 1</w:t>
            </w:r>
            <w:r>
              <w:rPr>
                <w:lang w:val="en-GB"/>
              </w:rPr>
              <w:br/>
            </w:r>
            <w:r w:rsidRPr="007C5A2A">
              <w:rPr>
                <w:lang w:val="en-GB"/>
              </w:rPr>
              <w:t xml:space="preserve"> &gt; 1 ≤ 2</w:t>
            </w:r>
            <w:r>
              <w:rPr>
                <w:lang w:val="en-GB"/>
              </w:rPr>
              <w:br/>
            </w:r>
            <w:r w:rsidRPr="007C5A2A">
              <w:rPr>
                <w:lang w:val="en-GB"/>
              </w:rPr>
              <w:t xml:space="preserve"> &gt; 2 ≤ 3</w:t>
            </w:r>
            <w:r>
              <w:rPr>
                <w:lang w:val="en-GB"/>
              </w:rPr>
              <w:br/>
            </w:r>
            <w:r w:rsidRPr="007C5A2A">
              <w:rPr>
                <w:lang w:val="en-GB"/>
              </w:rPr>
              <w:t xml:space="preserve"> &gt; 3 ≤ 4</w:t>
            </w:r>
            <w:r>
              <w:rPr>
                <w:lang w:val="en-GB"/>
              </w:rPr>
              <w:br/>
            </w:r>
            <w:r w:rsidRPr="007C5A2A">
              <w:rPr>
                <w:lang w:val="en-GB"/>
              </w:rPr>
              <w:t xml:space="preserve"> &gt; 4 ≤ 5</w:t>
            </w:r>
            <w:r>
              <w:rPr>
                <w:lang w:val="en-GB"/>
              </w:rPr>
              <w:br/>
            </w:r>
            <w:r w:rsidRPr="007C5A2A">
              <w:rPr>
                <w:lang w:val="en-GB"/>
              </w:rPr>
              <w:t xml:space="preserve"> &gt; 5</w:t>
            </w:r>
          </w:p>
          <w:p w14:paraId="11BF9EC3" w14:textId="77777777" w:rsidR="007C5A2A" w:rsidRDefault="007C5A2A" w:rsidP="007C5A2A">
            <w:pPr>
              <w:rPr>
                <w:lang w:val="en-GB"/>
              </w:rPr>
            </w:pPr>
            <w:r w:rsidRPr="007C5A2A">
              <w:rPr>
                <w:lang w:val="en-GB"/>
              </w:rPr>
              <w:t>Housing cooperatives</w:t>
            </w:r>
            <w:r>
              <w:rPr>
                <w:lang w:val="en-GB"/>
              </w:rPr>
              <w:br/>
            </w:r>
            <w:r w:rsidRPr="007C5A2A">
              <w:rPr>
                <w:lang w:val="en-GB"/>
              </w:rPr>
              <w:t xml:space="preserve"> ≤ 5</w:t>
            </w:r>
            <w:r>
              <w:rPr>
                <w:lang w:val="en-GB"/>
              </w:rPr>
              <w:br/>
            </w:r>
            <w:r w:rsidRPr="007C5A2A">
              <w:rPr>
                <w:lang w:val="en-GB"/>
              </w:rPr>
              <w:t xml:space="preserve"> &gt; 5 ≤ 10</w:t>
            </w:r>
            <w:r>
              <w:rPr>
                <w:lang w:val="en-GB"/>
              </w:rPr>
              <w:br/>
            </w:r>
            <w:r w:rsidRPr="007C5A2A">
              <w:rPr>
                <w:lang w:val="en-GB"/>
              </w:rPr>
              <w:t xml:space="preserve"> &gt; 10 ≤ 20</w:t>
            </w:r>
            <w:r>
              <w:rPr>
                <w:lang w:val="en-GB"/>
              </w:rPr>
              <w:br/>
            </w:r>
            <w:r w:rsidRPr="007C5A2A">
              <w:rPr>
                <w:lang w:val="en-GB"/>
              </w:rPr>
              <w:t xml:space="preserve"> &gt; 20 ≤ 50</w:t>
            </w:r>
            <w:r>
              <w:rPr>
                <w:lang w:val="en-GB"/>
              </w:rPr>
              <w:br/>
            </w:r>
            <w:r w:rsidRPr="007C5A2A">
              <w:rPr>
                <w:lang w:val="en-GB"/>
              </w:rPr>
              <w:t xml:space="preserve"> &gt; 50 ≤ 100</w:t>
            </w:r>
            <w:r>
              <w:rPr>
                <w:lang w:val="en-GB"/>
              </w:rPr>
              <w:br/>
            </w:r>
            <w:r w:rsidRPr="007C5A2A">
              <w:rPr>
                <w:lang w:val="en-GB"/>
              </w:rPr>
              <w:t xml:space="preserve"> &gt; 100</w:t>
            </w:r>
          </w:p>
        </w:tc>
      </w:tr>
    </w:tbl>
    <w:p w14:paraId="7EFB567C" w14:textId="77777777" w:rsidR="00BF1D9E" w:rsidRPr="00BF1D9E" w:rsidRDefault="00BF1D9E" w:rsidP="00BF1D9E">
      <w:pPr>
        <w:rPr>
          <w:lang w:val="en-GB"/>
        </w:rPr>
      </w:pPr>
    </w:p>
    <w:p w14:paraId="0B31DD25" w14:textId="77777777" w:rsidR="00CA6F97" w:rsidRDefault="00CA6F97" w:rsidP="00CA6F97">
      <w:pPr>
        <w:pStyle w:val="ListParagraph"/>
        <w:numPr>
          <w:ilvl w:val="0"/>
          <w:numId w:val="14"/>
        </w:numPr>
        <w:rPr>
          <w:lang w:val="en-GB"/>
        </w:rPr>
      </w:pPr>
      <w:r>
        <w:rPr>
          <w:lang w:val="en-GB"/>
        </w:rPr>
        <w:t>Poland:</w:t>
      </w:r>
    </w:p>
    <w:tbl>
      <w:tblPr>
        <w:tblStyle w:val="TableGrid"/>
        <w:tblW w:w="0" w:type="auto"/>
        <w:tblLook w:val="04A0" w:firstRow="1" w:lastRow="0" w:firstColumn="1" w:lastColumn="0" w:noHBand="0" w:noVBand="1"/>
      </w:tblPr>
      <w:tblGrid>
        <w:gridCol w:w="3141"/>
      </w:tblGrid>
      <w:tr w:rsidR="00B0275C" w14:paraId="463BE2DC" w14:textId="77777777" w:rsidTr="00451E47">
        <w:tc>
          <w:tcPr>
            <w:tcW w:w="3141" w:type="dxa"/>
          </w:tcPr>
          <w:p w14:paraId="21FB2390" w14:textId="0262A2D0" w:rsidR="00B0275C" w:rsidRDefault="00B0275C" w:rsidP="006B6690">
            <w:pPr>
              <w:rPr>
                <w:lang w:val="en-GB"/>
              </w:rPr>
            </w:pPr>
            <w:r>
              <w:rPr>
                <w:lang w:val="en-GB"/>
              </w:rPr>
              <w:t>Residential loans</w:t>
            </w:r>
          </w:p>
        </w:tc>
      </w:tr>
      <w:tr w:rsidR="00B0275C" w14:paraId="0ED4E0EB" w14:textId="77777777" w:rsidTr="00451E47">
        <w:tc>
          <w:tcPr>
            <w:tcW w:w="3141" w:type="dxa"/>
          </w:tcPr>
          <w:p w14:paraId="3EAE00CA" w14:textId="04AE2DDD" w:rsidR="00B0275C" w:rsidRPr="00B0275C" w:rsidRDefault="00B0275C" w:rsidP="00B0275C">
            <w:r w:rsidRPr="00B0275C">
              <w:t>≤ PLN 250,000</w:t>
            </w:r>
            <w:r w:rsidRPr="00B0275C">
              <w:br/>
              <w:t>(PLN 250,000 - PLN 500,000]</w:t>
            </w:r>
            <w:r w:rsidRPr="00B0275C">
              <w:br/>
              <w:t>(PLN 500,000 - PLN 1,000,000]</w:t>
            </w:r>
            <w:r w:rsidRPr="00B0275C">
              <w:br/>
            </w:r>
            <w:r>
              <w:t>&gt; PLN 1,000,000</w:t>
            </w:r>
          </w:p>
        </w:tc>
      </w:tr>
    </w:tbl>
    <w:p w14:paraId="17C547C7" w14:textId="77777777" w:rsidR="006B6690" w:rsidRPr="00B0275C" w:rsidRDefault="006B6690" w:rsidP="006B6690"/>
    <w:p w14:paraId="065F5DCF" w14:textId="2DFAFE8A" w:rsidR="00CA6F97" w:rsidRDefault="00CA6F97" w:rsidP="00CA6F97">
      <w:pPr>
        <w:pStyle w:val="ListParagraph"/>
        <w:numPr>
          <w:ilvl w:val="0"/>
          <w:numId w:val="14"/>
        </w:numPr>
        <w:rPr>
          <w:lang w:val="en-GB"/>
        </w:rPr>
      </w:pPr>
      <w:r>
        <w:rPr>
          <w:lang w:val="en-GB"/>
        </w:rPr>
        <w:t>Portugal:</w:t>
      </w:r>
    </w:p>
    <w:tbl>
      <w:tblPr>
        <w:tblStyle w:val="TableGrid"/>
        <w:tblW w:w="0" w:type="auto"/>
        <w:tblLook w:val="04A0" w:firstRow="1" w:lastRow="0" w:firstColumn="1" w:lastColumn="0" w:noHBand="0" w:noVBand="1"/>
      </w:tblPr>
      <w:tblGrid>
        <w:gridCol w:w="2405"/>
      </w:tblGrid>
      <w:tr w:rsidR="003D7845" w14:paraId="6C4A7517" w14:textId="77777777" w:rsidTr="00613FC4">
        <w:tc>
          <w:tcPr>
            <w:tcW w:w="2405" w:type="dxa"/>
          </w:tcPr>
          <w:p w14:paraId="0F6D39AE" w14:textId="3E3D7016" w:rsidR="003D7845" w:rsidRDefault="003D7845" w:rsidP="003D7845">
            <w:pPr>
              <w:rPr>
                <w:lang w:val="en-GB"/>
              </w:rPr>
            </w:pPr>
            <w:r>
              <w:rPr>
                <w:lang w:val="en-GB"/>
              </w:rPr>
              <w:t>Residential loans</w:t>
            </w:r>
          </w:p>
        </w:tc>
      </w:tr>
      <w:tr w:rsidR="003D7845" w:rsidRPr="003D7845" w14:paraId="29BC33D6" w14:textId="77777777" w:rsidTr="00613FC4">
        <w:tc>
          <w:tcPr>
            <w:tcW w:w="2405" w:type="dxa"/>
          </w:tcPr>
          <w:p w14:paraId="7F7AEBFD" w14:textId="0F740FBD" w:rsidR="003D7845" w:rsidRPr="003D7845" w:rsidRDefault="003D7845" w:rsidP="003D7845">
            <w:pPr>
              <w:rPr>
                <w:lang w:val="fr-FR"/>
              </w:rPr>
            </w:pPr>
            <w:r w:rsidRPr="003D7845">
              <w:rPr>
                <w:lang w:val="fr-FR"/>
              </w:rPr>
              <w:lastRenderedPageBreak/>
              <w:t>0 -  EUR 10.000</w:t>
            </w:r>
            <w:r w:rsidRPr="003D7845">
              <w:rPr>
                <w:lang w:val="fr-FR"/>
              </w:rPr>
              <w:br/>
              <w:t xml:space="preserve">10.000 - EUR 20.000 </w:t>
            </w:r>
            <w:r w:rsidRPr="003D7845">
              <w:rPr>
                <w:lang w:val="fr-FR"/>
              </w:rPr>
              <w:br/>
              <w:t>20.000 - EUR 30.000</w:t>
            </w:r>
            <w:r w:rsidRPr="003D7845">
              <w:rPr>
                <w:lang w:val="fr-FR"/>
              </w:rPr>
              <w:br/>
              <w:t>30.000 - EUR 40.000</w:t>
            </w:r>
            <w:r w:rsidRPr="003D7845">
              <w:rPr>
                <w:lang w:val="fr-FR"/>
              </w:rPr>
              <w:br/>
              <w:t>40.000 - EUR 50.000</w:t>
            </w:r>
            <w:r>
              <w:rPr>
                <w:lang w:val="fr-FR"/>
              </w:rPr>
              <w:br/>
            </w:r>
            <w:r w:rsidRPr="003D7845">
              <w:rPr>
                <w:lang w:val="fr-FR"/>
              </w:rPr>
              <w:t>50.000 - EUR 60.000</w:t>
            </w:r>
            <w:r>
              <w:rPr>
                <w:lang w:val="fr-FR"/>
              </w:rPr>
              <w:br/>
            </w:r>
            <w:r w:rsidRPr="003D7845">
              <w:rPr>
                <w:lang w:val="fr-FR"/>
              </w:rPr>
              <w:t>60.000 - EUR 70.000</w:t>
            </w:r>
            <w:r>
              <w:rPr>
                <w:lang w:val="fr-FR"/>
              </w:rPr>
              <w:br/>
            </w:r>
            <w:r w:rsidRPr="003D7845">
              <w:rPr>
                <w:lang w:val="fr-FR"/>
              </w:rPr>
              <w:t>70.000 - EUR 80.000</w:t>
            </w:r>
            <w:r>
              <w:rPr>
                <w:lang w:val="fr-FR"/>
              </w:rPr>
              <w:br/>
            </w:r>
            <w:r w:rsidRPr="003D7845">
              <w:rPr>
                <w:lang w:val="fr-FR"/>
              </w:rPr>
              <w:t>80.000 - EUR 90.000</w:t>
            </w:r>
            <w:r>
              <w:rPr>
                <w:lang w:val="fr-FR"/>
              </w:rPr>
              <w:br/>
            </w:r>
            <w:r w:rsidRPr="003D7845">
              <w:rPr>
                <w:lang w:val="fr-FR"/>
              </w:rPr>
              <w:t>90.000 - EUR 100.000</w:t>
            </w:r>
            <w:r>
              <w:rPr>
                <w:lang w:val="fr-FR"/>
              </w:rPr>
              <w:br/>
            </w:r>
            <w:r w:rsidRPr="003D7845">
              <w:rPr>
                <w:lang w:val="fr-FR"/>
              </w:rPr>
              <w:t>100.000 - EUR 200.000</w:t>
            </w:r>
            <w:r>
              <w:rPr>
                <w:lang w:val="fr-FR"/>
              </w:rPr>
              <w:br/>
            </w:r>
            <w:r w:rsidRPr="003D7845">
              <w:rPr>
                <w:lang w:val="fr-FR"/>
              </w:rPr>
              <w:t>&gt; EUR 200.000</w:t>
            </w:r>
          </w:p>
        </w:tc>
      </w:tr>
    </w:tbl>
    <w:p w14:paraId="1103C908" w14:textId="77777777" w:rsidR="003D7845" w:rsidRPr="003D7845" w:rsidRDefault="003D7845" w:rsidP="003D7845">
      <w:pPr>
        <w:rPr>
          <w:lang w:val="fr-FR"/>
        </w:rPr>
      </w:pPr>
    </w:p>
    <w:p w14:paraId="7D000142" w14:textId="3C733976" w:rsidR="00BB6E5B" w:rsidRDefault="00BB6E5B" w:rsidP="00CA6F97">
      <w:pPr>
        <w:pStyle w:val="ListParagraph"/>
        <w:numPr>
          <w:ilvl w:val="0"/>
          <w:numId w:val="14"/>
        </w:numPr>
        <w:rPr>
          <w:lang w:val="en-GB"/>
        </w:rPr>
      </w:pPr>
      <w:r>
        <w:rPr>
          <w:lang w:val="en-GB"/>
        </w:rPr>
        <w:t>Republic of Korea (South):</w:t>
      </w:r>
    </w:p>
    <w:tbl>
      <w:tblPr>
        <w:tblStyle w:val="TableGrid"/>
        <w:tblW w:w="0" w:type="auto"/>
        <w:tblLook w:val="04A0" w:firstRow="1" w:lastRow="0" w:firstColumn="1" w:lastColumn="0" w:noHBand="0" w:noVBand="1"/>
      </w:tblPr>
      <w:tblGrid>
        <w:gridCol w:w="9016"/>
      </w:tblGrid>
      <w:tr w:rsidR="00BB6E5B" w14:paraId="77E226FF" w14:textId="77777777" w:rsidTr="00391B96">
        <w:tc>
          <w:tcPr>
            <w:tcW w:w="9016" w:type="dxa"/>
          </w:tcPr>
          <w:p w14:paraId="38538A01" w14:textId="77777777" w:rsidR="00BB6E5B" w:rsidRDefault="00BB6E5B" w:rsidP="00391B96">
            <w:pPr>
              <w:rPr>
                <w:lang w:val="en-GB"/>
              </w:rPr>
            </w:pPr>
            <w:r>
              <w:rPr>
                <w:lang w:val="en-GB"/>
              </w:rPr>
              <w:t>Residential loans</w:t>
            </w:r>
          </w:p>
        </w:tc>
      </w:tr>
      <w:tr w:rsidR="00BB6E5B" w14:paraId="040844DC" w14:textId="77777777" w:rsidTr="00391B96">
        <w:tc>
          <w:tcPr>
            <w:tcW w:w="9016" w:type="dxa"/>
          </w:tcPr>
          <w:p w14:paraId="39FEEE49" w14:textId="46826D5A" w:rsidR="00BB6E5B" w:rsidRPr="004F3019" w:rsidRDefault="00BB6E5B" w:rsidP="00BB6E5B">
            <w:r>
              <w:t>0-50</w:t>
            </w:r>
            <w:r>
              <w:br/>
              <w:t>50-100</w:t>
            </w:r>
            <w:r>
              <w:br/>
              <w:t>100-150</w:t>
            </w:r>
            <w:r>
              <w:br/>
              <w:t>150-200</w:t>
            </w:r>
            <w:r>
              <w:br/>
              <w:t>200-250</w:t>
            </w:r>
            <w:r>
              <w:br/>
              <w:t>250-300</w:t>
            </w:r>
            <w:r>
              <w:br/>
              <w:t>300-350</w:t>
            </w:r>
            <w:r>
              <w:br/>
              <w:t>350-400</w:t>
            </w:r>
            <w:r>
              <w:br/>
              <w:t>400+</w:t>
            </w:r>
          </w:p>
        </w:tc>
      </w:tr>
    </w:tbl>
    <w:p w14:paraId="2B703F22" w14:textId="77777777" w:rsidR="00BB6E5B" w:rsidRPr="00BB6E5B" w:rsidRDefault="00BB6E5B" w:rsidP="00BB6E5B"/>
    <w:p w14:paraId="139E90BD" w14:textId="54D1503C" w:rsidR="00CA6F97" w:rsidRDefault="00CA6F97" w:rsidP="00CA6F97">
      <w:pPr>
        <w:pStyle w:val="ListParagraph"/>
        <w:numPr>
          <w:ilvl w:val="0"/>
          <w:numId w:val="14"/>
        </w:numPr>
        <w:rPr>
          <w:lang w:val="en-GB"/>
        </w:rPr>
      </w:pPr>
      <w:r>
        <w:rPr>
          <w:lang w:val="en-GB"/>
        </w:rPr>
        <w:t>Singapore:</w:t>
      </w:r>
    </w:p>
    <w:tbl>
      <w:tblPr>
        <w:tblStyle w:val="TableGrid"/>
        <w:tblW w:w="0" w:type="auto"/>
        <w:tblLook w:val="04A0" w:firstRow="1" w:lastRow="0" w:firstColumn="1" w:lastColumn="0" w:noHBand="0" w:noVBand="1"/>
      </w:tblPr>
      <w:tblGrid>
        <w:gridCol w:w="9016"/>
      </w:tblGrid>
      <w:tr w:rsidR="003D7845" w14:paraId="3AC76141" w14:textId="77777777" w:rsidTr="003D7845">
        <w:tc>
          <w:tcPr>
            <w:tcW w:w="9016" w:type="dxa"/>
          </w:tcPr>
          <w:p w14:paraId="3468FD3A" w14:textId="3AC2C61A" w:rsidR="003D7845" w:rsidRDefault="003D7845" w:rsidP="003D7845">
            <w:pPr>
              <w:rPr>
                <w:lang w:val="en-GB"/>
              </w:rPr>
            </w:pPr>
            <w:r>
              <w:rPr>
                <w:lang w:val="en-GB"/>
              </w:rPr>
              <w:t>Residential loans</w:t>
            </w:r>
          </w:p>
        </w:tc>
      </w:tr>
      <w:tr w:rsidR="003D7845" w14:paraId="025B950B" w14:textId="77777777" w:rsidTr="003D7845">
        <w:tc>
          <w:tcPr>
            <w:tcW w:w="9016" w:type="dxa"/>
          </w:tcPr>
          <w:p w14:paraId="0DEAC386" w14:textId="1FDEC20D" w:rsidR="003D7845" w:rsidRPr="004F3019" w:rsidRDefault="003D7845" w:rsidP="003D7845">
            <w:r w:rsidRPr="004F3019">
              <w:t>≤ SGD 500,000</w:t>
            </w:r>
            <w:r w:rsidRPr="004F3019">
              <w:br/>
              <w:t>&gt; SGD 500,000 - ≤ SGD 1,000,000</w:t>
            </w:r>
            <w:r w:rsidRPr="004F3019">
              <w:br/>
              <w:t>&gt; SGD 1,000,000 - ≤ SGD 1,500,000</w:t>
            </w:r>
            <w:r w:rsidRPr="004F3019">
              <w:br/>
              <w:t>&gt; SGD 1,500,000 - ≤ SGD 2,000,000</w:t>
            </w:r>
            <w:r w:rsidRPr="004F3019">
              <w:br/>
              <w:t>&gt; SGD 2,000,000 - ≤ SGD 2,500,000</w:t>
            </w:r>
            <w:r w:rsidRPr="004F3019">
              <w:br/>
              <w:t>&gt; SGD 2,500,000 - ≤ SGD 3,000,000</w:t>
            </w:r>
            <w:r w:rsidRPr="004F3019">
              <w:br/>
              <w:t>&gt; SGD 3,000,000 - ≤ SGD 3,500,000</w:t>
            </w:r>
            <w:r w:rsidRPr="004F3019">
              <w:br/>
              <w:t>&gt; SGD 3,500,000 - ≤ SGD 4,000,000</w:t>
            </w:r>
            <w:r w:rsidRPr="004F3019">
              <w:br/>
              <w:t>&gt; SGD 4,000,000</w:t>
            </w:r>
          </w:p>
        </w:tc>
      </w:tr>
    </w:tbl>
    <w:p w14:paraId="10C29464" w14:textId="77777777" w:rsidR="003D7845" w:rsidRPr="004F3019" w:rsidRDefault="003D7845" w:rsidP="003D7845"/>
    <w:p w14:paraId="45236186" w14:textId="30EA42B7" w:rsidR="00CA6F97" w:rsidRDefault="00CA6F97" w:rsidP="00CA6F97">
      <w:pPr>
        <w:pStyle w:val="ListParagraph"/>
        <w:numPr>
          <w:ilvl w:val="0"/>
          <w:numId w:val="14"/>
        </w:numPr>
        <w:rPr>
          <w:lang w:val="en-GB"/>
        </w:rPr>
      </w:pPr>
      <w:r>
        <w:rPr>
          <w:lang w:val="en-GB"/>
        </w:rPr>
        <w:lastRenderedPageBreak/>
        <w:t>Spain:</w:t>
      </w:r>
    </w:p>
    <w:tbl>
      <w:tblPr>
        <w:tblStyle w:val="TableGrid"/>
        <w:tblW w:w="0" w:type="auto"/>
        <w:tblLook w:val="04A0" w:firstRow="1" w:lastRow="0" w:firstColumn="1" w:lastColumn="0" w:noHBand="0" w:noVBand="1"/>
      </w:tblPr>
      <w:tblGrid>
        <w:gridCol w:w="4508"/>
        <w:gridCol w:w="4508"/>
      </w:tblGrid>
      <w:tr w:rsidR="003B07B4" w14:paraId="7F4424A0" w14:textId="77777777" w:rsidTr="003B07B4">
        <w:tc>
          <w:tcPr>
            <w:tcW w:w="4508" w:type="dxa"/>
          </w:tcPr>
          <w:p w14:paraId="433E0FAC" w14:textId="2AD7276B" w:rsidR="003B07B4" w:rsidRDefault="003B07B4" w:rsidP="003B07B4">
            <w:pPr>
              <w:rPr>
                <w:lang w:val="en-GB"/>
              </w:rPr>
            </w:pPr>
            <w:r>
              <w:rPr>
                <w:lang w:val="en-GB"/>
              </w:rPr>
              <w:t>Residential Loan</w:t>
            </w:r>
            <w:r w:rsidR="00B0275C">
              <w:rPr>
                <w:lang w:val="en-GB"/>
              </w:rPr>
              <w:t>s</w:t>
            </w:r>
          </w:p>
        </w:tc>
        <w:tc>
          <w:tcPr>
            <w:tcW w:w="4508" w:type="dxa"/>
          </w:tcPr>
          <w:p w14:paraId="3EEC0337" w14:textId="1B0FF30A" w:rsidR="003B07B4" w:rsidRDefault="003B07B4" w:rsidP="003B07B4">
            <w:pPr>
              <w:rPr>
                <w:lang w:val="en-GB"/>
              </w:rPr>
            </w:pPr>
            <w:r>
              <w:rPr>
                <w:lang w:val="en-GB"/>
              </w:rPr>
              <w:t>Commercial Loan</w:t>
            </w:r>
            <w:r w:rsidR="00B0275C">
              <w:rPr>
                <w:lang w:val="en-GB"/>
              </w:rPr>
              <w:t>s</w:t>
            </w:r>
          </w:p>
        </w:tc>
      </w:tr>
      <w:tr w:rsidR="003B07B4" w:rsidRPr="00C31782" w14:paraId="45A759F1" w14:textId="77777777" w:rsidTr="003B07B4">
        <w:tc>
          <w:tcPr>
            <w:tcW w:w="4508" w:type="dxa"/>
          </w:tcPr>
          <w:p w14:paraId="7C415B93" w14:textId="77777777" w:rsidR="000E3F23" w:rsidRPr="000E3F23" w:rsidRDefault="000E3F23" w:rsidP="000E3F23">
            <w:pPr>
              <w:rPr>
                <w:lang w:val="en-GB"/>
              </w:rPr>
            </w:pPr>
            <w:r w:rsidRPr="000E3F23">
              <w:rPr>
                <w:lang w:val="en-GB"/>
              </w:rPr>
              <w:t>of which up to 100,000 euros</w:t>
            </w:r>
          </w:p>
          <w:p w14:paraId="72631434" w14:textId="77777777" w:rsidR="000E3F23" w:rsidRPr="000E3F23" w:rsidRDefault="000E3F23" w:rsidP="000E3F23">
            <w:pPr>
              <w:rPr>
                <w:lang w:val="en-GB"/>
              </w:rPr>
            </w:pPr>
            <w:r w:rsidRPr="000E3F23">
              <w:rPr>
                <w:lang w:val="en-GB"/>
              </w:rPr>
              <w:t>of which more than 100,000 euros up to 200,000 euros</w:t>
            </w:r>
          </w:p>
          <w:p w14:paraId="5E0B0E31" w14:textId="77777777" w:rsidR="000E3F23" w:rsidRPr="000E3F23" w:rsidRDefault="000E3F23" w:rsidP="000E3F23">
            <w:pPr>
              <w:rPr>
                <w:lang w:val="en-GB"/>
              </w:rPr>
            </w:pPr>
            <w:r w:rsidRPr="000E3F23">
              <w:rPr>
                <w:lang w:val="en-GB"/>
              </w:rPr>
              <w:t>of which more than 200,000 euros up to 300,000 euros</w:t>
            </w:r>
          </w:p>
          <w:p w14:paraId="692C5F04" w14:textId="77777777" w:rsidR="000E3F23" w:rsidRPr="000E3F23" w:rsidRDefault="000E3F23" w:rsidP="000E3F23">
            <w:pPr>
              <w:rPr>
                <w:lang w:val="en-GB"/>
              </w:rPr>
            </w:pPr>
            <w:r w:rsidRPr="000E3F23">
              <w:rPr>
                <w:lang w:val="en-GB"/>
              </w:rPr>
              <w:t>of which more than 300,000 euros up to 500,000 euros</w:t>
            </w:r>
          </w:p>
          <w:p w14:paraId="664607E6" w14:textId="77777777" w:rsidR="000E3F23" w:rsidRPr="000E3F23" w:rsidRDefault="000E3F23" w:rsidP="000E3F23">
            <w:pPr>
              <w:rPr>
                <w:lang w:val="en-GB"/>
              </w:rPr>
            </w:pPr>
            <w:r w:rsidRPr="000E3F23">
              <w:rPr>
                <w:lang w:val="en-GB"/>
              </w:rPr>
              <w:t>of which more than 500,000 euros up to 1mn euros</w:t>
            </w:r>
          </w:p>
          <w:p w14:paraId="743E118C" w14:textId="27A9EE87" w:rsidR="003B07B4" w:rsidRDefault="000E3F23" w:rsidP="000E3F23">
            <w:pPr>
              <w:rPr>
                <w:lang w:val="en-GB"/>
              </w:rPr>
            </w:pPr>
            <w:r w:rsidRPr="000E3F23">
              <w:rPr>
                <w:lang w:val="en-GB"/>
              </w:rPr>
              <w:t>of which more than 1mn euros</w:t>
            </w:r>
          </w:p>
        </w:tc>
        <w:tc>
          <w:tcPr>
            <w:tcW w:w="4508" w:type="dxa"/>
          </w:tcPr>
          <w:p w14:paraId="68C3606F" w14:textId="77777777" w:rsidR="000E3F23" w:rsidRPr="000E3F23" w:rsidRDefault="000E3F23" w:rsidP="000E3F23">
            <w:pPr>
              <w:rPr>
                <w:lang w:val="en-GB"/>
              </w:rPr>
            </w:pPr>
            <w:r w:rsidRPr="000E3F23">
              <w:rPr>
                <w:lang w:val="en-GB"/>
              </w:rPr>
              <w:t>of which up to 100,000 euros</w:t>
            </w:r>
          </w:p>
          <w:p w14:paraId="2A5771D2" w14:textId="77777777" w:rsidR="000E3F23" w:rsidRPr="000E3F23" w:rsidRDefault="000E3F23" w:rsidP="000E3F23">
            <w:pPr>
              <w:rPr>
                <w:lang w:val="en-GB"/>
              </w:rPr>
            </w:pPr>
            <w:r w:rsidRPr="000E3F23">
              <w:rPr>
                <w:lang w:val="en-GB"/>
              </w:rPr>
              <w:t>of which more than 100,000 euros up to 200,000 euros</w:t>
            </w:r>
          </w:p>
          <w:p w14:paraId="77B6438D" w14:textId="77777777" w:rsidR="000E3F23" w:rsidRPr="000E3F23" w:rsidRDefault="000E3F23" w:rsidP="000E3F23">
            <w:pPr>
              <w:rPr>
                <w:lang w:val="en-GB"/>
              </w:rPr>
            </w:pPr>
            <w:r w:rsidRPr="000E3F23">
              <w:rPr>
                <w:lang w:val="en-GB"/>
              </w:rPr>
              <w:t>of which more than 200,000 euros up to 300,000 euros</w:t>
            </w:r>
          </w:p>
          <w:p w14:paraId="264A7641" w14:textId="77777777" w:rsidR="000E3F23" w:rsidRPr="000E3F23" w:rsidRDefault="000E3F23" w:rsidP="000E3F23">
            <w:pPr>
              <w:rPr>
                <w:lang w:val="en-GB"/>
              </w:rPr>
            </w:pPr>
            <w:r w:rsidRPr="000E3F23">
              <w:rPr>
                <w:lang w:val="en-GB"/>
              </w:rPr>
              <w:t>of which more than 300,000 euros up to 500,000 euros</w:t>
            </w:r>
          </w:p>
          <w:p w14:paraId="11A7632C" w14:textId="77777777" w:rsidR="000E3F23" w:rsidRPr="000E3F23" w:rsidRDefault="000E3F23" w:rsidP="000E3F23">
            <w:pPr>
              <w:rPr>
                <w:lang w:val="en-GB"/>
              </w:rPr>
            </w:pPr>
            <w:r w:rsidRPr="000E3F23">
              <w:rPr>
                <w:lang w:val="en-GB"/>
              </w:rPr>
              <w:t>of which more than 500,000 euros up to 1mn euros</w:t>
            </w:r>
          </w:p>
          <w:p w14:paraId="0C3418C8" w14:textId="5D94545E" w:rsidR="003B07B4" w:rsidRDefault="000E3F23" w:rsidP="000E3F23">
            <w:pPr>
              <w:rPr>
                <w:lang w:val="en-GB"/>
              </w:rPr>
            </w:pPr>
            <w:r w:rsidRPr="000E3F23">
              <w:rPr>
                <w:lang w:val="en-GB"/>
              </w:rPr>
              <w:t>of which more than 1mn euros</w:t>
            </w:r>
          </w:p>
        </w:tc>
      </w:tr>
    </w:tbl>
    <w:p w14:paraId="260E293E" w14:textId="77777777" w:rsidR="003B07B4" w:rsidRPr="003B07B4" w:rsidRDefault="003B07B4" w:rsidP="003B07B4">
      <w:pPr>
        <w:rPr>
          <w:lang w:val="en-GB"/>
        </w:rPr>
      </w:pPr>
    </w:p>
    <w:p w14:paraId="79613ABA" w14:textId="77777777" w:rsidR="00CA6F97" w:rsidRDefault="00CA6F97" w:rsidP="00CA6F97">
      <w:pPr>
        <w:pStyle w:val="ListParagraph"/>
        <w:numPr>
          <w:ilvl w:val="0"/>
          <w:numId w:val="14"/>
        </w:numPr>
        <w:rPr>
          <w:lang w:val="en-GB"/>
        </w:rPr>
      </w:pPr>
      <w:r>
        <w:rPr>
          <w:lang w:val="en-GB"/>
        </w:rPr>
        <w:t>Sweden:</w:t>
      </w:r>
    </w:p>
    <w:tbl>
      <w:tblPr>
        <w:tblStyle w:val="TableGrid"/>
        <w:tblW w:w="0" w:type="auto"/>
        <w:tblLook w:val="04A0" w:firstRow="1" w:lastRow="0" w:firstColumn="1" w:lastColumn="0" w:noHBand="0" w:noVBand="1"/>
      </w:tblPr>
      <w:tblGrid>
        <w:gridCol w:w="2122"/>
        <w:gridCol w:w="3402"/>
      </w:tblGrid>
      <w:tr w:rsidR="00E53FCD" w14:paraId="5738763B" w14:textId="77777777" w:rsidTr="00613FC4">
        <w:tc>
          <w:tcPr>
            <w:tcW w:w="2122" w:type="dxa"/>
          </w:tcPr>
          <w:p w14:paraId="2216E4BD" w14:textId="4ACFE5A0" w:rsidR="00E53FCD" w:rsidRDefault="00E53FCD" w:rsidP="00E53FCD">
            <w:pPr>
              <w:rPr>
                <w:lang w:val="en-GB"/>
              </w:rPr>
            </w:pPr>
            <w:r>
              <w:rPr>
                <w:lang w:val="en-GB"/>
              </w:rPr>
              <w:t>Residential</w:t>
            </w:r>
            <w:r w:rsidR="005A46F5">
              <w:rPr>
                <w:lang w:val="en-GB"/>
              </w:rPr>
              <w:t xml:space="preserve"> loans</w:t>
            </w:r>
          </w:p>
        </w:tc>
        <w:tc>
          <w:tcPr>
            <w:tcW w:w="3402" w:type="dxa"/>
          </w:tcPr>
          <w:p w14:paraId="6351E12D" w14:textId="01051650" w:rsidR="00E53FCD" w:rsidRDefault="005A46F5" w:rsidP="00E53FCD">
            <w:pPr>
              <w:rPr>
                <w:lang w:val="en-GB"/>
              </w:rPr>
            </w:pPr>
            <w:r>
              <w:rPr>
                <w:lang w:val="en-GB"/>
              </w:rPr>
              <w:t>Commercial  loans (Nordea – SCBC)</w:t>
            </w:r>
          </w:p>
        </w:tc>
      </w:tr>
      <w:tr w:rsidR="00E53FCD" w14:paraId="31DA8EF5" w14:textId="77777777" w:rsidTr="00613FC4">
        <w:tc>
          <w:tcPr>
            <w:tcW w:w="2122" w:type="dxa"/>
          </w:tcPr>
          <w:p w14:paraId="2C1C8B14" w14:textId="0C3221D2" w:rsidR="00E53FCD" w:rsidRDefault="00E53FCD" w:rsidP="002E2DF4">
            <w:pPr>
              <w:rPr>
                <w:lang w:val="en-GB"/>
              </w:rPr>
            </w:pPr>
            <w:r w:rsidRPr="00E53FCD">
              <w:rPr>
                <w:lang w:val="en-GB"/>
              </w:rPr>
              <w:t>-</w:t>
            </w:r>
            <w:r w:rsidR="002E2DF4" w:rsidRPr="002E2DF4">
              <w:rPr>
                <w:lang w:val="en-GB"/>
              </w:rPr>
              <w:t>&gt;0  -  &lt;=0,25</w:t>
            </w:r>
            <w:r w:rsidR="002E2DF4">
              <w:rPr>
                <w:lang w:val="en-GB"/>
              </w:rPr>
              <w:br/>
            </w:r>
            <w:r w:rsidR="002E2DF4" w:rsidRPr="002E2DF4">
              <w:rPr>
                <w:lang w:val="en-GB"/>
              </w:rPr>
              <w:t>&gt;0,25  -  &lt;=0,50</w:t>
            </w:r>
            <w:r w:rsidR="002E2DF4">
              <w:rPr>
                <w:lang w:val="en-GB"/>
              </w:rPr>
              <w:br/>
            </w:r>
            <w:r w:rsidR="002E2DF4" w:rsidRPr="002E2DF4">
              <w:rPr>
                <w:lang w:val="en-GB"/>
              </w:rPr>
              <w:t>&gt;0,50  -  &lt;=0,75</w:t>
            </w:r>
            <w:r w:rsidR="002E2DF4">
              <w:rPr>
                <w:lang w:val="en-GB"/>
              </w:rPr>
              <w:br/>
            </w:r>
            <w:r w:rsidR="002E2DF4" w:rsidRPr="002E2DF4">
              <w:rPr>
                <w:lang w:val="en-GB"/>
              </w:rPr>
              <w:t>&gt;0,75  -  &lt;=1,00</w:t>
            </w:r>
            <w:r w:rsidR="002E2DF4">
              <w:rPr>
                <w:lang w:val="en-GB"/>
              </w:rPr>
              <w:br/>
            </w:r>
            <w:r w:rsidR="002E2DF4" w:rsidRPr="002E2DF4">
              <w:rPr>
                <w:lang w:val="en-GB"/>
              </w:rPr>
              <w:t>&gt;1,00  -  &lt;=2,00</w:t>
            </w:r>
            <w:r w:rsidR="002E2DF4">
              <w:rPr>
                <w:lang w:val="en-GB"/>
              </w:rPr>
              <w:br/>
            </w:r>
            <w:r w:rsidR="002E2DF4" w:rsidRPr="002E2DF4">
              <w:rPr>
                <w:lang w:val="en-GB"/>
              </w:rPr>
              <w:t>&gt;2,00  -  &lt;=3,00</w:t>
            </w:r>
            <w:r w:rsidR="002E2DF4">
              <w:rPr>
                <w:lang w:val="en-GB"/>
              </w:rPr>
              <w:br/>
            </w:r>
            <w:r w:rsidR="002E2DF4" w:rsidRPr="002E2DF4">
              <w:rPr>
                <w:lang w:val="en-GB"/>
              </w:rPr>
              <w:t>&gt;3,00  -  &lt;=4,00</w:t>
            </w:r>
            <w:r w:rsidR="002E2DF4">
              <w:rPr>
                <w:lang w:val="en-GB"/>
              </w:rPr>
              <w:br/>
            </w:r>
            <w:r w:rsidR="002E2DF4" w:rsidRPr="002E2DF4">
              <w:rPr>
                <w:lang w:val="en-GB"/>
              </w:rPr>
              <w:t>&gt;4,00  -  &lt;=5</w:t>
            </w:r>
            <w:r w:rsidR="002E2DF4">
              <w:rPr>
                <w:lang w:val="en-GB"/>
              </w:rPr>
              <w:br/>
            </w:r>
            <w:r w:rsidR="002E2DF4" w:rsidRPr="002E2DF4">
              <w:rPr>
                <w:lang w:val="en-GB"/>
              </w:rPr>
              <w:t>&gt;5  -  &lt;=10</w:t>
            </w:r>
            <w:r w:rsidR="002E2DF4">
              <w:rPr>
                <w:lang w:val="en-GB"/>
              </w:rPr>
              <w:br/>
            </w:r>
            <w:r w:rsidR="002E2DF4" w:rsidRPr="002E2DF4">
              <w:rPr>
                <w:lang w:val="en-GB"/>
              </w:rPr>
              <w:t>&gt;10  -  &lt;=20</w:t>
            </w:r>
            <w:r w:rsidR="002E2DF4">
              <w:rPr>
                <w:lang w:val="en-GB"/>
              </w:rPr>
              <w:br/>
            </w:r>
            <w:r w:rsidR="002E2DF4" w:rsidRPr="002E2DF4">
              <w:rPr>
                <w:lang w:val="en-GB"/>
              </w:rPr>
              <w:t>&gt;20</w:t>
            </w:r>
          </w:p>
        </w:tc>
        <w:tc>
          <w:tcPr>
            <w:tcW w:w="3402" w:type="dxa"/>
          </w:tcPr>
          <w:p w14:paraId="5E104958" w14:textId="7E61CC52" w:rsidR="00E53FCD" w:rsidRDefault="005A46F5" w:rsidP="005A46F5">
            <w:pPr>
              <w:rPr>
                <w:lang w:val="en-GB"/>
              </w:rPr>
            </w:pPr>
            <w:r w:rsidRPr="005A46F5">
              <w:rPr>
                <w:lang w:val="en-GB"/>
              </w:rPr>
              <w:t>-1.00</w:t>
            </w:r>
            <w:r>
              <w:rPr>
                <w:lang w:val="en-GB"/>
              </w:rPr>
              <w:br/>
            </w:r>
            <w:r w:rsidRPr="005A46F5">
              <w:rPr>
                <w:lang w:val="en-GB"/>
              </w:rPr>
              <w:t>1.00-2.50</w:t>
            </w:r>
            <w:r>
              <w:rPr>
                <w:lang w:val="en-GB"/>
              </w:rPr>
              <w:br/>
            </w:r>
            <w:r w:rsidRPr="005A46F5">
              <w:rPr>
                <w:lang w:val="en-GB"/>
              </w:rPr>
              <w:t>2.50-5.00</w:t>
            </w:r>
            <w:r>
              <w:rPr>
                <w:lang w:val="en-GB"/>
              </w:rPr>
              <w:br/>
            </w:r>
            <w:r w:rsidRPr="005A46F5">
              <w:rPr>
                <w:lang w:val="en-GB"/>
              </w:rPr>
              <w:t>5.00-10.00</w:t>
            </w:r>
            <w:r>
              <w:rPr>
                <w:lang w:val="en-GB"/>
              </w:rPr>
              <w:br/>
            </w:r>
            <w:r w:rsidRPr="005A46F5">
              <w:rPr>
                <w:lang w:val="en-GB"/>
              </w:rPr>
              <w:t>10.00-25.00</w:t>
            </w:r>
            <w:r>
              <w:rPr>
                <w:lang w:val="en-GB"/>
              </w:rPr>
              <w:br/>
            </w:r>
            <w:r w:rsidRPr="005A46F5">
              <w:rPr>
                <w:lang w:val="en-GB"/>
              </w:rPr>
              <w:t>25.00-50.00</w:t>
            </w:r>
            <w:r>
              <w:rPr>
                <w:lang w:val="en-GB"/>
              </w:rPr>
              <w:br/>
            </w:r>
            <w:r w:rsidRPr="005A46F5">
              <w:rPr>
                <w:lang w:val="en-GB"/>
              </w:rPr>
              <w:t>50.00-100.00</w:t>
            </w:r>
            <w:r>
              <w:rPr>
                <w:lang w:val="en-GB"/>
              </w:rPr>
              <w:br/>
            </w:r>
            <w:r w:rsidRPr="005A46F5">
              <w:rPr>
                <w:lang w:val="en-GB"/>
              </w:rPr>
              <w:t>100.00-.250.00</w:t>
            </w:r>
            <w:r>
              <w:rPr>
                <w:lang w:val="en-GB"/>
              </w:rPr>
              <w:br/>
            </w:r>
            <w:r w:rsidRPr="005A46F5">
              <w:rPr>
                <w:lang w:val="en-GB"/>
              </w:rPr>
              <w:t>250.00-</w:t>
            </w:r>
          </w:p>
        </w:tc>
      </w:tr>
    </w:tbl>
    <w:p w14:paraId="28AB2C9D" w14:textId="77777777" w:rsidR="00E53FCD" w:rsidRPr="00E53FCD" w:rsidRDefault="00E53FCD" w:rsidP="00E53FCD">
      <w:pPr>
        <w:rPr>
          <w:lang w:val="en-GB"/>
        </w:rPr>
      </w:pPr>
    </w:p>
    <w:p w14:paraId="49DB542F" w14:textId="2126B970" w:rsidR="00CA6F97" w:rsidRDefault="00CA6F97" w:rsidP="00CA6F97">
      <w:pPr>
        <w:pStyle w:val="ListParagraph"/>
        <w:numPr>
          <w:ilvl w:val="0"/>
          <w:numId w:val="14"/>
        </w:numPr>
        <w:rPr>
          <w:lang w:val="en-GB"/>
        </w:rPr>
      </w:pPr>
      <w:r>
        <w:rPr>
          <w:lang w:val="en-GB"/>
        </w:rPr>
        <w:t>United Kingdom:</w:t>
      </w:r>
    </w:p>
    <w:tbl>
      <w:tblPr>
        <w:tblStyle w:val="TableGrid"/>
        <w:tblW w:w="0" w:type="auto"/>
        <w:tblLook w:val="04A0" w:firstRow="1" w:lastRow="0" w:firstColumn="1" w:lastColumn="0" w:noHBand="0" w:noVBand="1"/>
      </w:tblPr>
      <w:tblGrid>
        <w:gridCol w:w="2972"/>
      </w:tblGrid>
      <w:tr w:rsidR="001A1D88" w14:paraId="77E6EEA6" w14:textId="77777777" w:rsidTr="00613FC4">
        <w:tc>
          <w:tcPr>
            <w:tcW w:w="2972" w:type="dxa"/>
          </w:tcPr>
          <w:p w14:paraId="0B4F2FBC" w14:textId="33EB1213" w:rsidR="001A1D88" w:rsidRDefault="001A1D88" w:rsidP="001A1D88">
            <w:pPr>
              <w:rPr>
                <w:lang w:val="en-GB"/>
              </w:rPr>
            </w:pPr>
            <w:r>
              <w:rPr>
                <w:lang w:val="en-GB"/>
              </w:rPr>
              <w:t>Residential loans</w:t>
            </w:r>
          </w:p>
        </w:tc>
      </w:tr>
      <w:tr w:rsidR="001A1D88" w:rsidRPr="00C31782" w14:paraId="49FE986C" w14:textId="77777777" w:rsidTr="00613FC4">
        <w:tc>
          <w:tcPr>
            <w:tcW w:w="2972" w:type="dxa"/>
          </w:tcPr>
          <w:p w14:paraId="715E4EB6" w14:textId="0B8BE6F8" w:rsidR="001A1D88" w:rsidRDefault="001A1D88" w:rsidP="001A1D88">
            <w:pPr>
              <w:rPr>
                <w:lang w:val="en-GB"/>
              </w:rPr>
            </w:pPr>
            <w:r w:rsidRPr="001A1D88">
              <w:rPr>
                <w:lang w:val="en-GB"/>
              </w:rPr>
              <w:t>&gt;=5,000 and &lt;10,000</w:t>
            </w:r>
            <w:r>
              <w:rPr>
                <w:lang w:val="en-GB"/>
              </w:rPr>
              <w:br/>
            </w:r>
            <w:r w:rsidRPr="001A1D88">
              <w:rPr>
                <w:lang w:val="en-GB"/>
              </w:rPr>
              <w:t>&gt;=10,000 and &lt;25,000</w:t>
            </w:r>
            <w:r>
              <w:rPr>
                <w:lang w:val="en-GB"/>
              </w:rPr>
              <w:br/>
            </w:r>
            <w:r w:rsidRPr="001A1D88">
              <w:rPr>
                <w:lang w:val="en-GB"/>
              </w:rPr>
              <w:t>&gt;=25,000 and &lt;50,000</w:t>
            </w:r>
            <w:r>
              <w:rPr>
                <w:lang w:val="en-GB"/>
              </w:rPr>
              <w:br/>
            </w:r>
            <w:r w:rsidRPr="001A1D88">
              <w:rPr>
                <w:lang w:val="en-GB"/>
              </w:rPr>
              <w:lastRenderedPageBreak/>
              <w:t>&gt;=50,000 and &lt;75,000</w:t>
            </w:r>
            <w:r>
              <w:rPr>
                <w:lang w:val="en-GB"/>
              </w:rPr>
              <w:br/>
            </w:r>
            <w:r w:rsidRPr="001A1D88">
              <w:rPr>
                <w:lang w:val="en-GB"/>
              </w:rPr>
              <w:t>&gt;=75,000 and &lt;100,000</w:t>
            </w:r>
            <w:r>
              <w:rPr>
                <w:lang w:val="en-GB"/>
              </w:rPr>
              <w:br/>
            </w:r>
            <w:r w:rsidRPr="001A1D88">
              <w:rPr>
                <w:lang w:val="en-GB"/>
              </w:rPr>
              <w:t>&gt;=100,000 and &lt;150,000</w:t>
            </w:r>
            <w:r>
              <w:rPr>
                <w:lang w:val="en-GB"/>
              </w:rPr>
              <w:br/>
            </w:r>
            <w:r w:rsidRPr="001A1D88">
              <w:rPr>
                <w:lang w:val="en-GB"/>
              </w:rPr>
              <w:t>&gt;=150,000 and &lt;200,000</w:t>
            </w:r>
            <w:r>
              <w:rPr>
                <w:lang w:val="en-GB"/>
              </w:rPr>
              <w:br/>
            </w:r>
            <w:r w:rsidRPr="001A1D88">
              <w:rPr>
                <w:lang w:val="en-GB"/>
              </w:rPr>
              <w:t>&gt;=200,000 and &lt;250,000</w:t>
            </w:r>
            <w:r>
              <w:rPr>
                <w:lang w:val="en-GB"/>
              </w:rPr>
              <w:br/>
            </w:r>
            <w:r w:rsidRPr="001A1D88">
              <w:rPr>
                <w:lang w:val="en-GB"/>
              </w:rPr>
              <w:t>&gt;=250,000 and &lt;300,000</w:t>
            </w:r>
            <w:r>
              <w:rPr>
                <w:lang w:val="en-GB"/>
              </w:rPr>
              <w:br/>
            </w:r>
            <w:r w:rsidRPr="001A1D88">
              <w:rPr>
                <w:lang w:val="en-GB"/>
              </w:rPr>
              <w:t>&gt;=300,000 and &lt;350,000</w:t>
            </w:r>
            <w:r>
              <w:rPr>
                <w:lang w:val="en-GB"/>
              </w:rPr>
              <w:br/>
            </w:r>
            <w:r w:rsidRPr="001A1D88">
              <w:rPr>
                <w:lang w:val="en-GB"/>
              </w:rPr>
              <w:t>&gt;=350,000 and &lt;400,000</w:t>
            </w:r>
            <w:r>
              <w:rPr>
                <w:lang w:val="en-GB"/>
              </w:rPr>
              <w:br/>
            </w:r>
            <w:r w:rsidRPr="001A1D88">
              <w:rPr>
                <w:lang w:val="en-GB"/>
              </w:rPr>
              <w:t>&gt;=400,000 and &lt;450,000</w:t>
            </w:r>
            <w:r>
              <w:rPr>
                <w:lang w:val="en-GB"/>
              </w:rPr>
              <w:br/>
            </w:r>
            <w:r w:rsidRPr="001A1D88">
              <w:rPr>
                <w:lang w:val="en-GB"/>
              </w:rPr>
              <w:t>&gt;=450,000 and &lt;500,000</w:t>
            </w:r>
            <w:r>
              <w:rPr>
                <w:lang w:val="en-GB"/>
              </w:rPr>
              <w:br/>
            </w:r>
            <w:r w:rsidRPr="001A1D88">
              <w:rPr>
                <w:lang w:val="en-GB"/>
              </w:rPr>
              <w:t>&gt;=500,000 and &lt;600,000</w:t>
            </w:r>
            <w:r>
              <w:rPr>
                <w:lang w:val="en-GB"/>
              </w:rPr>
              <w:br/>
            </w:r>
            <w:r w:rsidRPr="001A1D88">
              <w:rPr>
                <w:lang w:val="en-GB"/>
              </w:rPr>
              <w:t>&gt;=600,000 and &lt;700,000</w:t>
            </w:r>
            <w:r>
              <w:rPr>
                <w:lang w:val="en-GB"/>
              </w:rPr>
              <w:br/>
            </w:r>
            <w:r w:rsidRPr="001A1D88">
              <w:rPr>
                <w:lang w:val="en-GB"/>
              </w:rPr>
              <w:t>&gt;=700,000 and &lt;800,000</w:t>
            </w:r>
            <w:r>
              <w:rPr>
                <w:lang w:val="en-GB"/>
              </w:rPr>
              <w:br/>
            </w:r>
            <w:r w:rsidRPr="001A1D88">
              <w:rPr>
                <w:lang w:val="en-GB"/>
              </w:rPr>
              <w:t>&gt;=800,000 and &lt;900,000</w:t>
            </w:r>
            <w:r>
              <w:rPr>
                <w:lang w:val="en-GB"/>
              </w:rPr>
              <w:br/>
            </w:r>
            <w:r w:rsidRPr="001A1D88">
              <w:rPr>
                <w:lang w:val="en-GB"/>
              </w:rPr>
              <w:t>&gt;=900,000 and &lt;1,000,000</w:t>
            </w:r>
          </w:p>
        </w:tc>
      </w:tr>
    </w:tbl>
    <w:p w14:paraId="65A4C82A" w14:textId="77777777" w:rsidR="001A1D88" w:rsidRPr="001A1D88" w:rsidRDefault="001A1D88" w:rsidP="001A1D88">
      <w:pPr>
        <w:rPr>
          <w:lang w:val="en-GB"/>
        </w:rPr>
      </w:pPr>
    </w:p>
    <w:p w14:paraId="7E395E0C" w14:textId="77777777" w:rsidR="00563560" w:rsidRDefault="00D029E9" w:rsidP="00D029E9">
      <w:pPr>
        <w:pStyle w:val="Heading2"/>
        <w:rPr>
          <w:lang w:val="en-GB"/>
        </w:rPr>
      </w:pPr>
      <w:bookmarkStart w:id="23" w:name="_Toc5714062"/>
      <w:r>
        <w:rPr>
          <w:lang w:val="en-GB"/>
        </w:rPr>
        <w:t>B2. HTT Public Sector Assets</w:t>
      </w:r>
      <w:bookmarkEnd w:id="23"/>
    </w:p>
    <w:p w14:paraId="79D9DD6E" w14:textId="77777777" w:rsidR="00D029E9" w:rsidRDefault="00E53FCD" w:rsidP="00E53FCD">
      <w:pPr>
        <w:pStyle w:val="Heading3"/>
        <w:numPr>
          <w:ilvl w:val="0"/>
          <w:numId w:val="15"/>
        </w:numPr>
        <w:rPr>
          <w:lang w:val="en-GB"/>
        </w:rPr>
      </w:pPr>
      <w:bookmarkStart w:id="24" w:name="_Toc5714063"/>
      <w:r w:rsidRPr="00E53FCD">
        <w:rPr>
          <w:lang w:val="en-GB"/>
        </w:rPr>
        <w:t>Siz</w:t>
      </w:r>
      <w:r>
        <w:rPr>
          <w:lang w:val="en-GB"/>
        </w:rPr>
        <w:t>e Information</w:t>
      </w:r>
      <w:bookmarkEnd w:id="24"/>
    </w:p>
    <w:p w14:paraId="3610B488" w14:textId="77777777" w:rsidR="00E53FCD" w:rsidRDefault="006F08B8" w:rsidP="00E53FCD">
      <w:pPr>
        <w:rPr>
          <w:lang w:val="en-GB"/>
        </w:rPr>
      </w:pPr>
      <w:r>
        <w:rPr>
          <w:lang w:val="en-GB"/>
        </w:rPr>
        <w:t xml:space="preserve">The size information is provided in </w:t>
      </w:r>
      <w:r w:rsidR="002C6481">
        <w:rPr>
          <w:lang w:val="en-GB"/>
        </w:rPr>
        <w:t>the respective domestic currency</w:t>
      </w:r>
    </w:p>
    <w:p w14:paraId="39EA8AB7" w14:textId="77777777" w:rsidR="00E53FCD" w:rsidRDefault="00E53FCD" w:rsidP="00E53FCD">
      <w:pPr>
        <w:pStyle w:val="ListParagraph"/>
        <w:numPr>
          <w:ilvl w:val="0"/>
          <w:numId w:val="16"/>
        </w:numPr>
        <w:rPr>
          <w:lang w:val="en-GB"/>
        </w:rPr>
      </w:pPr>
      <w:r>
        <w:rPr>
          <w:lang w:val="en-GB"/>
        </w:rPr>
        <w:t>Austria:</w:t>
      </w:r>
    </w:p>
    <w:tbl>
      <w:tblPr>
        <w:tblStyle w:val="TableGrid"/>
        <w:tblW w:w="0" w:type="auto"/>
        <w:tblInd w:w="360" w:type="dxa"/>
        <w:tblLook w:val="04A0" w:firstRow="1" w:lastRow="0" w:firstColumn="1" w:lastColumn="0" w:noHBand="0" w:noVBand="1"/>
      </w:tblPr>
      <w:tblGrid>
        <w:gridCol w:w="4326"/>
      </w:tblGrid>
      <w:tr w:rsidR="00E53FCD" w14:paraId="0A40C24D" w14:textId="77777777" w:rsidTr="00E53FCD">
        <w:tc>
          <w:tcPr>
            <w:tcW w:w="4326" w:type="dxa"/>
          </w:tcPr>
          <w:p w14:paraId="75D868FE" w14:textId="77777777" w:rsidR="00E53FCD" w:rsidRDefault="00E53FCD" w:rsidP="00E53FCD">
            <w:pPr>
              <w:rPr>
                <w:lang w:val="en-GB"/>
              </w:rPr>
            </w:pPr>
            <w:r>
              <w:rPr>
                <w:lang w:val="en-GB"/>
              </w:rPr>
              <w:t>Public Sector</w:t>
            </w:r>
          </w:p>
        </w:tc>
      </w:tr>
      <w:tr w:rsidR="00E53FCD" w14:paraId="262F06E6" w14:textId="77777777" w:rsidTr="00E53FCD">
        <w:tc>
          <w:tcPr>
            <w:tcW w:w="4326" w:type="dxa"/>
          </w:tcPr>
          <w:p w14:paraId="716AB858" w14:textId="77777777" w:rsidR="00E53FCD" w:rsidRDefault="00E53FCD" w:rsidP="00E53FCD">
            <w:pPr>
              <w:rPr>
                <w:lang w:val="en-GB"/>
              </w:rPr>
            </w:pPr>
            <w:r w:rsidRPr="00D025A6">
              <w:rPr>
                <w:lang w:val="en-GB"/>
              </w:rPr>
              <w:t>&lt; 100.000</w:t>
            </w:r>
            <w:r>
              <w:rPr>
                <w:lang w:val="en-GB"/>
              </w:rPr>
              <w:br/>
            </w:r>
            <w:r w:rsidRPr="00D025A6">
              <w:rPr>
                <w:lang w:val="en-GB"/>
              </w:rPr>
              <w:t>100.000 - 300.000</w:t>
            </w:r>
            <w:r>
              <w:rPr>
                <w:lang w:val="en-GB"/>
              </w:rPr>
              <w:br/>
              <w:t>3</w:t>
            </w:r>
            <w:r w:rsidRPr="00D025A6">
              <w:rPr>
                <w:lang w:val="en-GB"/>
              </w:rPr>
              <w:t>00.000 - 500.000</w:t>
            </w:r>
            <w:r>
              <w:rPr>
                <w:lang w:val="en-GB"/>
              </w:rPr>
              <w:br/>
            </w:r>
            <w:r w:rsidRPr="00D025A6">
              <w:rPr>
                <w:lang w:val="en-GB"/>
              </w:rPr>
              <w:t>500.000 - 1.000.000</w:t>
            </w:r>
            <w:r>
              <w:rPr>
                <w:lang w:val="en-GB"/>
              </w:rPr>
              <w:br/>
            </w:r>
            <w:r w:rsidRPr="00D025A6">
              <w:rPr>
                <w:lang w:val="en-GB"/>
              </w:rPr>
              <w:t>1.000.000 - 5.000.000</w:t>
            </w:r>
            <w:r>
              <w:rPr>
                <w:lang w:val="en-GB"/>
              </w:rPr>
              <w:br/>
            </w:r>
            <w:r w:rsidRPr="00D025A6">
              <w:rPr>
                <w:lang w:val="en-GB"/>
              </w:rPr>
              <w:t>&gt; 5.000.000</w:t>
            </w:r>
          </w:p>
        </w:tc>
      </w:tr>
    </w:tbl>
    <w:p w14:paraId="2BF72B06" w14:textId="77777777" w:rsidR="00E53FCD" w:rsidRPr="00E53FCD" w:rsidRDefault="00E53FCD" w:rsidP="00E53FCD">
      <w:pPr>
        <w:pStyle w:val="ListParagraph"/>
        <w:numPr>
          <w:ilvl w:val="0"/>
          <w:numId w:val="16"/>
        </w:numPr>
        <w:rPr>
          <w:lang w:val="en-GB"/>
        </w:rPr>
      </w:pPr>
      <w:r>
        <w:rPr>
          <w:lang w:val="en-GB"/>
        </w:rPr>
        <w:t>Belgium – not present</w:t>
      </w:r>
    </w:p>
    <w:p w14:paraId="443A44F2" w14:textId="77777777" w:rsidR="00E53FCD" w:rsidRPr="00E53FCD" w:rsidRDefault="00E53FCD" w:rsidP="00E53FCD">
      <w:pPr>
        <w:pStyle w:val="ListParagraph"/>
        <w:numPr>
          <w:ilvl w:val="0"/>
          <w:numId w:val="16"/>
        </w:numPr>
        <w:rPr>
          <w:lang w:val="en-GB"/>
        </w:rPr>
      </w:pPr>
      <w:r>
        <w:rPr>
          <w:lang w:val="en-GB"/>
        </w:rPr>
        <w:t>Canada – not present</w:t>
      </w:r>
    </w:p>
    <w:p w14:paraId="0A73C17F" w14:textId="77777777" w:rsidR="00E53FCD" w:rsidRPr="00E53FCD" w:rsidRDefault="00E53FCD" w:rsidP="00E53FCD">
      <w:pPr>
        <w:pStyle w:val="ListParagraph"/>
        <w:numPr>
          <w:ilvl w:val="0"/>
          <w:numId w:val="16"/>
        </w:numPr>
        <w:rPr>
          <w:lang w:val="en-GB"/>
        </w:rPr>
      </w:pPr>
      <w:r>
        <w:rPr>
          <w:lang w:val="en-GB"/>
        </w:rPr>
        <w:t>Denmark – not present</w:t>
      </w:r>
    </w:p>
    <w:p w14:paraId="15D2E6DA" w14:textId="77777777" w:rsidR="00E53FCD" w:rsidRPr="00E53FCD" w:rsidRDefault="00E53FCD" w:rsidP="00E53FCD">
      <w:pPr>
        <w:pStyle w:val="ListParagraph"/>
        <w:numPr>
          <w:ilvl w:val="0"/>
          <w:numId w:val="16"/>
        </w:numPr>
        <w:rPr>
          <w:lang w:val="en-GB"/>
        </w:rPr>
      </w:pPr>
      <w:r>
        <w:rPr>
          <w:lang w:val="en-GB"/>
        </w:rPr>
        <w:t>Finland – not present</w:t>
      </w:r>
    </w:p>
    <w:p w14:paraId="56EEF822" w14:textId="77777777" w:rsidR="00E53FCD" w:rsidRDefault="00E53FCD" w:rsidP="00E53FCD">
      <w:pPr>
        <w:pStyle w:val="ListParagraph"/>
        <w:numPr>
          <w:ilvl w:val="0"/>
          <w:numId w:val="16"/>
        </w:numPr>
        <w:rPr>
          <w:lang w:val="en-GB"/>
        </w:rPr>
      </w:pPr>
      <w:r>
        <w:rPr>
          <w:lang w:val="en-GB"/>
        </w:rPr>
        <w:t>France:</w:t>
      </w:r>
    </w:p>
    <w:tbl>
      <w:tblPr>
        <w:tblStyle w:val="TableGrid"/>
        <w:tblW w:w="0" w:type="auto"/>
        <w:tblInd w:w="360" w:type="dxa"/>
        <w:tblLook w:val="04A0" w:firstRow="1" w:lastRow="0" w:firstColumn="1" w:lastColumn="0" w:noHBand="0" w:noVBand="1"/>
      </w:tblPr>
      <w:tblGrid>
        <w:gridCol w:w="1762"/>
      </w:tblGrid>
      <w:tr w:rsidR="009B04E2" w14:paraId="4C1E29FB" w14:textId="77777777" w:rsidTr="009B04E2">
        <w:tc>
          <w:tcPr>
            <w:tcW w:w="1762" w:type="dxa"/>
          </w:tcPr>
          <w:p w14:paraId="28B2205F" w14:textId="1B631A01" w:rsidR="009B04E2" w:rsidRDefault="009B04E2" w:rsidP="00E53FCD">
            <w:pPr>
              <w:rPr>
                <w:lang w:val="en-GB"/>
              </w:rPr>
            </w:pPr>
            <w:r>
              <w:rPr>
                <w:lang w:val="en-GB"/>
              </w:rPr>
              <w:t>Public Sector</w:t>
            </w:r>
          </w:p>
        </w:tc>
      </w:tr>
      <w:tr w:rsidR="009B04E2" w:rsidRPr="00076A98" w14:paraId="5E36BCAC" w14:textId="77777777" w:rsidTr="009B04E2">
        <w:tc>
          <w:tcPr>
            <w:tcW w:w="1762" w:type="dxa"/>
          </w:tcPr>
          <w:p w14:paraId="3C3D7294" w14:textId="4E43DCE2" w:rsidR="009B04E2" w:rsidRPr="009B04E2" w:rsidRDefault="009B04E2" w:rsidP="009B04E2">
            <w:r w:rsidRPr="009B04E2">
              <w:t>0-500k€</w:t>
            </w:r>
            <w:r w:rsidRPr="009B04E2">
              <w:br/>
              <w:t>500-1M€</w:t>
            </w:r>
            <w:r w:rsidRPr="009B04E2">
              <w:br/>
              <w:t>1M-5M€</w:t>
            </w:r>
            <w:r w:rsidRPr="009B04E2">
              <w:br/>
              <w:t>5M-10M€</w:t>
            </w:r>
            <w:r w:rsidRPr="009B04E2">
              <w:br/>
            </w:r>
            <w:r w:rsidRPr="009B04E2">
              <w:lastRenderedPageBreak/>
              <w:t>10M-50M€</w:t>
            </w:r>
            <w:r w:rsidRPr="009B04E2">
              <w:br/>
              <w:t>50M-100M€</w:t>
            </w:r>
            <w:r>
              <w:br/>
            </w:r>
            <w:r w:rsidRPr="009B04E2">
              <w:t>&gt;100M€</w:t>
            </w:r>
          </w:p>
        </w:tc>
      </w:tr>
    </w:tbl>
    <w:p w14:paraId="5D5013AA" w14:textId="77777777" w:rsidR="00E53FCD" w:rsidRDefault="00E53FCD" w:rsidP="00E53FCD">
      <w:pPr>
        <w:pStyle w:val="ListParagraph"/>
        <w:numPr>
          <w:ilvl w:val="0"/>
          <w:numId w:val="16"/>
        </w:numPr>
        <w:rPr>
          <w:lang w:val="en-GB"/>
        </w:rPr>
      </w:pPr>
      <w:r>
        <w:rPr>
          <w:lang w:val="en-GB"/>
        </w:rPr>
        <w:lastRenderedPageBreak/>
        <w:t>Germany:</w:t>
      </w:r>
    </w:p>
    <w:tbl>
      <w:tblPr>
        <w:tblStyle w:val="TableGrid"/>
        <w:tblW w:w="0" w:type="auto"/>
        <w:tblInd w:w="-5" w:type="dxa"/>
        <w:tblLook w:val="04A0" w:firstRow="1" w:lastRow="0" w:firstColumn="1" w:lastColumn="0" w:noHBand="0" w:noVBand="1"/>
      </w:tblPr>
      <w:tblGrid>
        <w:gridCol w:w="4248"/>
      </w:tblGrid>
      <w:tr w:rsidR="006F08B8" w14:paraId="3719D353" w14:textId="77777777" w:rsidTr="003F2E94">
        <w:tc>
          <w:tcPr>
            <w:tcW w:w="4248" w:type="dxa"/>
          </w:tcPr>
          <w:p w14:paraId="640F3965" w14:textId="77777777" w:rsidR="006F08B8" w:rsidRDefault="006F08B8" w:rsidP="006B6690">
            <w:pPr>
              <w:rPr>
                <w:lang w:val="en-GB"/>
              </w:rPr>
            </w:pPr>
            <w:r>
              <w:rPr>
                <w:lang w:val="en-GB"/>
              </w:rPr>
              <w:t>Public sector</w:t>
            </w:r>
          </w:p>
        </w:tc>
      </w:tr>
      <w:tr w:rsidR="006F08B8" w14:paraId="7396E557" w14:textId="77777777" w:rsidTr="003F2E94">
        <w:tc>
          <w:tcPr>
            <w:tcW w:w="4248" w:type="dxa"/>
          </w:tcPr>
          <w:p w14:paraId="74CCE5C0" w14:textId="77777777" w:rsidR="006F08B8" w:rsidRDefault="006F08B8" w:rsidP="006F08B8">
            <w:pPr>
              <w:rPr>
                <w:lang w:val="en-GB"/>
              </w:rPr>
            </w:pPr>
            <w:r w:rsidRPr="006F08B8">
              <w:rPr>
                <w:lang w:val="en-GB"/>
              </w:rPr>
              <w:t xml:space="preserve">up to 10 </w:t>
            </w:r>
            <w:proofErr w:type="spellStart"/>
            <w:r w:rsidRPr="006F08B8">
              <w:rPr>
                <w:lang w:val="en-GB"/>
              </w:rPr>
              <w:t>mn</w:t>
            </w:r>
            <w:proofErr w:type="spellEnd"/>
            <w:r w:rsidRPr="006F08B8">
              <w:rPr>
                <w:lang w:val="en-GB"/>
              </w:rPr>
              <w:t>. Euros</w:t>
            </w:r>
            <w:r>
              <w:rPr>
                <w:lang w:val="en-GB"/>
              </w:rPr>
              <w:br/>
            </w:r>
            <w:r w:rsidRPr="006F08B8">
              <w:rPr>
                <w:lang w:val="en-GB"/>
              </w:rPr>
              <w:t xml:space="preserve">more than 10 </w:t>
            </w:r>
            <w:proofErr w:type="spellStart"/>
            <w:r w:rsidRPr="006F08B8">
              <w:rPr>
                <w:lang w:val="en-GB"/>
              </w:rPr>
              <w:t>mn</w:t>
            </w:r>
            <w:proofErr w:type="spellEnd"/>
            <w:r w:rsidRPr="006F08B8">
              <w:rPr>
                <w:lang w:val="en-GB"/>
              </w:rPr>
              <w:t xml:space="preserve">. Euros up to 100 </w:t>
            </w:r>
            <w:proofErr w:type="spellStart"/>
            <w:r w:rsidRPr="006F08B8">
              <w:rPr>
                <w:lang w:val="en-GB"/>
              </w:rPr>
              <w:t>mn</w:t>
            </w:r>
            <w:proofErr w:type="spellEnd"/>
            <w:r w:rsidRPr="006F08B8">
              <w:rPr>
                <w:lang w:val="en-GB"/>
              </w:rPr>
              <w:t>. Euros</w:t>
            </w:r>
            <w:r>
              <w:rPr>
                <w:lang w:val="en-GB"/>
              </w:rPr>
              <w:br/>
            </w:r>
            <w:r w:rsidRPr="006F08B8">
              <w:rPr>
                <w:lang w:val="en-GB"/>
              </w:rPr>
              <w:t xml:space="preserve">more than 100 </w:t>
            </w:r>
            <w:proofErr w:type="spellStart"/>
            <w:r w:rsidRPr="006F08B8">
              <w:rPr>
                <w:lang w:val="en-GB"/>
              </w:rPr>
              <w:t>mn</w:t>
            </w:r>
            <w:proofErr w:type="spellEnd"/>
            <w:r w:rsidRPr="006F08B8">
              <w:rPr>
                <w:lang w:val="en-GB"/>
              </w:rPr>
              <w:t>. Euros</w:t>
            </w:r>
          </w:p>
        </w:tc>
      </w:tr>
    </w:tbl>
    <w:p w14:paraId="55176238" w14:textId="77777777" w:rsidR="00E53FCD" w:rsidRDefault="00E53FCD" w:rsidP="00E53FCD">
      <w:pPr>
        <w:pStyle w:val="ListParagraph"/>
        <w:numPr>
          <w:ilvl w:val="0"/>
          <w:numId w:val="16"/>
        </w:numPr>
        <w:rPr>
          <w:lang w:val="en-GB"/>
        </w:rPr>
      </w:pPr>
      <w:r w:rsidRPr="00E53FCD">
        <w:rPr>
          <w:lang w:val="en-GB"/>
        </w:rPr>
        <w:t>Greece – Not present</w:t>
      </w:r>
    </w:p>
    <w:p w14:paraId="7D1FEEA8" w14:textId="77777777" w:rsidR="00E53FCD" w:rsidRPr="006F08B8" w:rsidRDefault="00E53FCD" w:rsidP="006F08B8">
      <w:pPr>
        <w:pStyle w:val="ListParagraph"/>
        <w:numPr>
          <w:ilvl w:val="0"/>
          <w:numId w:val="16"/>
        </w:numPr>
        <w:rPr>
          <w:lang w:val="en-GB"/>
        </w:rPr>
      </w:pPr>
      <w:r w:rsidRPr="00E53FCD">
        <w:rPr>
          <w:lang w:val="en-GB"/>
        </w:rPr>
        <w:t>Ireland – Not Present</w:t>
      </w:r>
    </w:p>
    <w:p w14:paraId="4D13ADF3" w14:textId="77777777" w:rsidR="00E53FCD" w:rsidRDefault="00E53FCD" w:rsidP="00E53FCD">
      <w:pPr>
        <w:pStyle w:val="ListParagraph"/>
        <w:numPr>
          <w:ilvl w:val="0"/>
          <w:numId w:val="16"/>
        </w:numPr>
        <w:rPr>
          <w:lang w:val="en-GB"/>
        </w:rPr>
      </w:pPr>
      <w:r>
        <w:rPr>
          <w:lang w:val="en-GB"/>
        </w:rPr>
        <w:t>Italy:</w:t>
      </w:r>
    </w:p>
    <w:tbl>
      <w:tblPr>
        <w:tblStyle w:val="TableGrid"/>
        <w:tblW w:w="0" w:type="auto"/>
        <w:tblLook w:val="04A0" w:firstRow="1" w:lastRow="0" w:firstColumn="1" w:lastColumn="0" w:noHBand="0" w:noVBand="1"/>
      </w:tblPr>
      <w:tblGrid>
        <w:gridCol w:w="2830"/>
      </w:tblGrid>
      <w:tr w:rsidR="006F08B8" w14:paraId="68E1E916" w14:textId="77777777" w:rsidTr="00B0275C">
        <w:tc>
          <w:tcPr>
            <w:tcW w:w="2830" w:type="dxa"/>
          </w:tcPr>
          <w:p w14:paraId="07051421" w14:textId="77777777" w:rsidR="006F08B8" w:rsidRDefault="006F08B8" w:rsidP="006F08B8">
            <w:pPr>
              <w:rPr>
                <w:lang w:val="en-GB"/>
              </w:rPr>
            </w:pPr>
            <w:r>
              <w:rPr>
                <w:lang w:val="en-GB"/>
              </w:rPr>
              <w:t>Public sector</w:t>
            </w:r>
          </w:p>
        </w:tc>
      </w:tr>
      <w:tr w:rsidR="006F08B8" w:rsidRPr="00C31782" w14:paraId="53FAA4DA" w14:textId="77777777" w:rsidTr="00B0275C">
        <w:tc>
          <w:tcPr>
            <w:tcW w:w="2830" w:type="dxa"/>
          </w:tcPr>
          <w:p w14:paraId="3DB7EC8D" w14:textId="77777777" w:rsidR="006F08B8" w:rsidRDefault="006F08B8" w:rsidP="006F08B8">
            <w:pPr>
              <w:rPr>
                <w:lang w:val="en-GB"/>
              </w:rPr>
            </w:pPr>
            <w:r w:rsidRPr="006F08B8">
              <w:rPr>
                <w:lang w:val="en-GB"/>
              </w:rPr>
              <w:t>0 (included) – 600k</w:t>
            </w:r>
            <w:r>
              <w:rPr>
                <w:lang w:val="en-GB"/>
              </w:rPr>
              <w:br/>
            </w:r>
            <w:proofErr w:type="spellStart"/>
            <w:r>
              <w:rPr>
                <w:lang w:val="en-GB"/>
              </w:rPr>
              <w:t>6</w:t>
            </w:r>
            <w:r w:rsidRPr="006F08B8">
              <w:rPr>
                <w:lang w:val="en-GB"/>
              </w:rPr>
              <w:t>00k</w:t>
            </w:r>
            <w:proofErr w:type="spellEnd"/>
            <w:r w:rsidRPr="006F08B8">
              <w:rPr>
                <w:lang w:val="en-GB"/>
              </w:rPr>
              <w:t xml:space="preserve"> ( Included ) – 1mn</w:t>
            </w:r>
            <w:r>
              <w:rPr>
                <w:lang w:val="en-GB"/>
              </w:rPr>
              <w:br/>
            </w:r>
            <w:proofErr w:type="spellStart"/>
            <w:r w:rsidRPr="006F08B8">
              <w:rPr>
                <w:lang w:val="en-GB"/>
              </w:rPr>
              <w:t>1mn</w:t>
            </w:r>
            <w:proofErr w:type="spellEnd"/>
            <w:r w:rsidRPr="006F08B8">
              <w:rPr>
                <w:lang w:val="en-GB"/>
              </w:rPr>
              <w:t xml:space="preserve"> ( Included ) – 5mn </w:t>
            </w:r>
            <w:r>
              <w:rPr>
                <w:lang w:val="en-GB"/>
              </w:rPr>
              <w:br/>
            </w:r>
            <w:proofErr w:type="spellStart"/>
            <w:r w:rsidRPr="006F08B8">
              <w:rPr>
                <w:lang w:val="en-GB"/>
              </w:rPr>
              <w:t>5mn</w:t>
            </w:r>
            <w:proofErr w:type="spellEnd"/>
            <w:r w:rsidRPr="006F08B8">
              <w:rPr>
                <w:lang w:val="en-GB"/>
              </w:rPr>
              <w:t xml:space="preserve"> ( Included ) – 10mn </w:t>
            </w:r>
            <w:r>
              <w:rPr>
                <w:lang w:val="en-GB"/>
              </w:rPr>
              <w:br/>
            </w:r>
            <w:proofErr w:type="spellStart"/>
            <w:r w:rsidRPr="006F08B8">
              <w:rPr>
                <w:lang w:val="en-GB"/>
              </w:rPr>
              <w:t>10mn</w:t>
            </w:r>
            <w:proofErr w:type="spellEnd"/>
            <w:r w:rsidRPr="006F08B8">
              <w:rPr>
                <w:lang w:val="en-GB"/>
              </w:rPr>
              <w:t xml:space="preserve"> ( Included ) – 20mn </w:t>
            </w:r>
            <w:r>
              <w:rPr>
                <w:lang w:val="en-GB"/>
              </w:rPr>
              <w:br/>
            </w:r>
            <w:proofErr w:type="spellStart"/>
            <w:r w:rsidRPr="006F08B8">
              <w:rPr>
                <w:lang w:val="en-GB"/>
              </w:rPr>
              <w:t>20mn</w:t>
            </w:r>
            <w:proofErr w:type="spellEnd"/>
            <w:r w:rsidRPr="006F08B8">
              <w:rPr>
                <w:lang w:val="en-GB"/>
              </w:rPr>
              <w:t xml:space="preserve"> ( Included ) – 30mn </w:t>
            </w:r>
            <w:r>
              <w:rPr>
                <w:lang w:val="en-GB"/>
              </w:rPr>
              <w:br/>
            </w:r>
            <w:proofErr w:type="spellStart"/>
            <w:r w:rsidRPr="006F08B8">
              <w:rPr>
                <w:lang w:val="en-GB"/>
              </w:rPr>
              <w:t>30mn</w:t>
            </w:r>
            <w:proofErr w:type="spellEnd"/>
            <w:r w:rsidRPr="006F08B8">
              <w:rPr>
                <w:lang w:val="en-GB"/>
              </w:rPr>
              <w:t xml:space="preserve"> ( Included ) – 60mn </w:t>
            </w:r>
            <w:r>
              <w:rPr>
                <w:lang w:val="en-GB"/>
              </w:rPr>
              <w:br/>
            </w:r>
            <w:proofErr w:type="spellStart"/>
            <w:r w:rsidRPr="006F08B8">
              <w:rPr>
                <w:lang w:val="en-GB"/>
              </w:rPr>
              <w:t>60mn</w:t>
            </w:r>
            <w:proofErr w:type="spellEnd"/>
            <w:r w:rsidRPr="006F08B8">
              <w:rPr>
                <w:lang w:val="en-GB"/>
              </w:rPr>
              <w:t xml:space="preserve"> ( Included ) – 100mn </w:t>
            </w:r>
            <w:r>
              <w:rPr>
                <w:lang w:val="en-GB"/>
              </w:rPr>
              <w:br/>
            </w:r>
            <w:proofErr w:type="spellStart"/>
            <w:r w:rsidRPr="006F08B8">
              <w:rPr>
                <w:lang w:val="en-GB"/>
              </w:rPr>
              <w:t>100mn</w:t>
            </w:r>
            <w:proofErr w:type="spellEnd"/>
            <w:r w:rsidRPr="006F08B8">
              <w:rPr>
                <w:lang w:val="en-GB"/>
              </w:rPr>
              <w:t xml:space="preserve"> ( Included ) – 300mn</w:t>
            </w:r>
          </w:p>
        </w:tc>
      </w:tr>
    </w:tbl>
    <w:p w14:paraId="519331E9" w14:textId="77777777" w:rsidR="006F08B8" w:rsidRPr="006F08B8" w:rsidRDefault="006F08B8" w:rsidP="006F08B8">
      <w:pPr>
        <w:rPr>
          <w:lang w:val="en-GB"/>
        </w:rPr>
      </w:pPr>
    </w:p>
    <w:p w14:paraId="16EE9502" w14:textId="77777777" w:rsidR="00E53FCD" w:rsidRDefault="00E53FCD" w:rsidP="00E53FCD">
      <w:pPr>
        <w:pStyle w:val="ListParagraph"/>
        <w:numPr>
          <w:ilvl w:val="0"/>
          <w:numId w:val="16"/>
        </w:numPr>
        <w:rPr>
          <w:lang w:val="en-GB"/>
        </w:rPr>
      </w:pPr>
      <w:r>
        <w:rPr>
          <w:lang w:val="en-GB"/>
        </w:rPr>
        <w:t>Netherlands – not present</w:t>
      </w:r>
    </w:p>
    <w:p w14:paraId="59D72DA4" w14:textId="77777777" w:rsidR="00E53FCD" w:rsidRDefault="00E53FCD" w:rsidP="00E53FCD">
      <w:pPr>
        <w:pStyle w:val="ListParagraph"/>
        <w:numPr>
          <w:ilvl w:val="0"/>
          <w:numId w:val="16"/>
        </w:numPr>
        <w:rPr>
          <w:lang w:val="en-GB"/>
        </w:rPr>
      </w:pPr>
      <w:r>
        <w:rPr>
          <w:lang w:val="en-GB"/>
        </w:rPr>
        <w:t>Norway – not present</w:t>
      </w:r>
    </w:p>
    <w:p w14:paraId="2EFEC419" w14:textId="77777777" w:rsidR="00E53FCD" w:rsidRDefault="00E53FCD" w:rsidP="00E53FCD">
      <w:pPr>
        <w:pStyle w:val="ListParagraph"/>
        <w:numPr>
          <w:ilvl w:val="0"/>
          <w:numId w:val="16"/>
        </w:numPr>
        <w:rPr>
          <w:lang w:val="en-GB"/>
        </w:rPr>
      </w:pPr>
      <w:r>
        <w:rPr>
          <w:lang w:val="en-GB"/>
        </w:rPr>
        <w:t>Poland:</w:t>
      </w:r>
    </w:p>
    <w:tbl>
      <w:tblPr>
        <w:tblStyle w:val="TableGrid"/>
        <w:tblW w:w="0" w:type="auto"/>
        <w:tblLook w:val="04A0" w:firstRow="1" w:lastRow="0" w:firstColumn="1" w:lastColumn="0" w:noHBand="0" w:noVBand="1"/>
      </w:tblPr>
      <w:tblGrid>
        <w:gridCol w:w="9016"/>
      </w:tblGrid>
      <w:tr w:rsidR="006F08B8" w14:paraId="1AA98347" w14:textId="77777777" w:rsidTr="006F08B8">
        <w:tc>
          <w:tcPr>
            <w:tcW w:w="9016" w:type="dxa"/>
          </w:tcPr>
          <w:p w14:paraId="7EB5AC8C" w14:textId="77777777" w:rsidR="006F08B8" w:rsidRDefault="006F08B8" w:rsidP="006F08B8">
            <w:pPr>
              <w:rPr>
                <w:lang w:val="en-GB"/>
              </w:rPr>
            </w:pPr>
            <w:r>
              <w:rPr>
                <w:lang w:val="en-GB"/>
              </w:rPr>
              <w:t>Public sector</w:t>
            </w:r>
          </w:p>
        </w:tc>
      </w:tr>
      <w:tr w:rsidR="006F08B8" w14:paraId="3D95045B" w14:textId="77777777" w:rsidTr="006F08B8">
        <w:tc>
          <w:tcPr>
            <w:tcW w:w="9016" w:type="dxa"/>
          </w:tcPr>
          <w:p w14:paraId="741DFD8D" w14:textId="77777777" w:rsidR="006F08B8" w:rsidRDefault="006F08B8" w:rsidP="006F08B8">
            <w:pPr>
              <w:rPr>
                <w:lang w:val="en-GB"/>
              </w:rPr>
            </w:pPr>
            <w:r w:rsidRPr="006F08B8">
              <w:rPr>
                <w:lang w:val="en-GB"/>
              </w:rPr>
              <w:t>≤ 20 000 000</w:t>
            </w:r>
            <w:r>
              <w:rPr>
                <w:lang w:val="en-GB"/>
              </w:rPr>
              <w:br/>
            </w:r>
            <w:r w:rsidRPr="006F08B8">
              <w:rPr>
                <w:lang w:val="en-GB"/>
              </w:rPr>
              <w:t>20 000 000.1 - 40 000 000</w:t>
            </w:r>
            <w:r>
              <w:rPr>
                <w:lang w:val="en-GB"/>
              </w:rPr>
              <w:br/>
            </w:r>
            <w:r w:rsidRPr="006F08B8">
              <w:rPr>
                <w:lang w:val="en-GB"/>
              </w:rPr>
              <w:t>40 000 000.1 - 60 000 000</w:t>
            </w:r>
            <w:r>
              <w:rPr>
                <w:lang w:val="en-GB"/>
              </w:rPr>
              <w:br/>
            </w:r>
            <w:r w:rsidRPr="006F08B8">
              <w:rPr>
                <w:lang w:val="en-GB"/>
              </w:rPr>
              <w:t>60 000 000.1 - 80 000 000</w:t>
            </w:r>
          </w:p>
        </w:tc>
      </w:tr>
    </w:tbl>
    <w:p w14:paraId="3C9D740E" w14:textId="77777777" w:rsidR="00E53FCD" w:rsidRDefault="00E53FCD" w:rsidP="00E53FCD">
      <w:pPr>
        <w:pStyle w:val="ListParagraph"/>
        <w:numPr>
          <w:ilvl w:val="0"/>
          <w:numId w:val="16"/>
        </w:numPr>
        <w:rPr>
          <w:lang w:val="en-GB"/>
        </w:rPr>
      </w:pPr>
      <w:r>
        <w:rPr>
          <w:lang w:val="en-GB"/>
        </w:rPr>
        <w:t>Portugal – not present</w:t>
      </w:r>
    </w:p>
    <w:p w14:paraId="7F7A0B15" w14:textId="77777777" w:rsidR="00E53FCD" w:rsidRDefault="00E53FCD" w:rsidP="00E53FCD">
      <w:pPr>
        <w:pStyle w:val="ListParagraph"/>
        <w:numPr>
          <w:ilvl w:val="0"/>
          <w:numId w:val="16"/>
        </w:numPr>
        <w:rPr>
          <w:lang w:val="en-GB"/>
        </w:rPr>
      </w:pPr>
      <w:r>
        <w:rPr>
          <w:lang w:val="en-GB"/>
        </w:rPr>
        <w:t>Singapore – not present</w:t>
      </w:r>
    </w:p>
    <w:p w14:paraId="08082835" w14:textId="77777777" w:rsidR="00E53FCD" w:rsidRDefault="00E53FCD" w:rsidP="00E53FCD">
      <w:pPr>
        <w:pStyle w:val="ListParagraph"/>
        <w:numPr>
          <w:ilvl w:val="0"/>
          <w:numId w:val="16"/>
        </w:numPr>
        <w:rPr>
          <w:lang w:val="en-GB"/>
        </w:rPr>
      </w:pPr>
      <w:r>
        <w:rPr>
          <w:lang w:val="en-GB"/>
        </w:rPr>
        <w:t>Spain:</w:t>
      </w:r>
    </w:p>
    <w:tbl>
      <w:tblPr>
        <w:tblStyle w:val="TableGrid"/>
        <w:tblW w:w="0" w:type="auto"/>
        <w:tblLook w:val="04A0" w:firstRow="1" w:lastRow="0" w:firstColumn="1" w:lastColumn="0" w:noHBand="0" w:noVBand="1"/>
      </w:tblPr>
      <w:tblGrid>
        <w:gridCol w:w="9016"/>
      </w:tblGrid>
      <w:tr w:rsidR="00E53FCD" w14:paraId="2DB65632" w14:textId="77777777" w:rsidTr="00E53FCD">
        <w:tc>
          <w:tcPr>
            <w:tcW w:w="9016" w:type="dxa"/>
          </w:tcPr>
          <w:p w14:paraId="3BFB2B3B" w14:textId="77777777" w:rsidR="00E53FCD" w:rsidRDefault="006F08B8" w:rsidP="00E53FCD">
            <w:pPr>
              <w:rPr>
                <w:lang w:val="en-GB"/>
              </w:rPr>
            </w:pPr>
            <w:r>
              <w:rPr>
                <w:lang w:val="en-GB"/>
              </w:rPr>
              <w:t>Public sector</w:t>
            </w:r>
          </w:p>
        </w:tc>
      </w:tr>
      <w:tr w:rsidR="00E53FCD" w:rsidRPr="00C31782" w14:paraId="1D31EF33" w14:textId="77777777" w:rsidTr="00E53FCD">
        <w:tc>
          <w:tcPr>
            <w:tcW w:w="9016" w:type="dxa"/>
          </w:tcPr>
          <w:p w14:paraId="471574E2" w14:textId="77777777" w:rsidR="00E53FCD" w:rsidRDefault="00E53FCD" w:rsidP="00E53FCD">
            <w:pPr>
              <w:rPr>
                <w:lang w:val="en-GB"/>
              </w:rPr>
            </w:pPr>
            <w:r w:rsidRPr="00E53FCD">
              <w:rPr>
                <w:lang w:val="en-GB"/>
              </w:rPr>
              <w:lastRenderedPageBreak/>
              <w:t>of which up to 1mn euros</w:t>
            </w:r>
            <w:r>
              <w:rPr>
                <w:lang w:val="en-GB"/>
              </w:rPr>
              <w:br/>
            </w:r>
            <w:r w:rsidRPr="00E53FCD">
              <w:rPr>
                <w:lang w:val="en-GB"/>
              </w:rPr>
              <w:t>of which more than 1mn euros up to 10mn euros</w:t>
            </w:r>
            <w:r>
              <w:rPr>
                <w:lang w:val="en-GB"/>
              </w:rPr>
              <w:br/>
            </w:r>
            <w:r w:rsidRPr="00E53FCD">
              <w:rPr>
                <w:lang w:val="en-GB"/>
              </w:rPr>
              <w:t>of which more than 10mn euros up to 20mn euros</w:t>
            </w:r>
            <w:r w:rsidR="006F08B8">
              <w:rPr>
                <w:lang w:val="en-GB"/>
              </w:rPr>
              <w:br/>
            </w:r>
            <w:r w:rsidRPr="00E53FCD">
              <w:rPr>
                <w:lang w:val="en-GB"/>
              </w:rPr>
              <w:t>of which more than 20mn euros up to 50mn euro</w:t>
            </w:r>
            <w:r w:rsidR="006F08B8">
              <w:rPr>
                <w:lang w:val="en-GB"/>
              </w:rPr>
              <w:t xml:space="preserve">s </w:t>
            </w:r>
            <w:r w:rsidR="006F08B8">
              <w:rPr>
                <w:lang w:val="en-GB"/>
              </w:rPr>
              <w:br/>
              <w:t>o</w:t>
            </w:r>
            <w:r w:rsidRPr="00E53FCD">
              <w:rPr>
                <w:lang w:val="en-GB"/>
              </w:rPr>
              <w:t>f which more than 50mn euros</w:t>
            </w:r>
          </w:p>
        </w:tc>
      </w:tr>
    </w:tbl>
    <w:p w14:paraId="13DA7800" w14:textId="77777777" w:rsidR="00E53FCD" w:rsidRDefault="00E53FCD" w:rsidP="00E53FCD">
      <w:pPr>
        <w:pStyle w:val="ListParagraph"/>
        <w:numPr>
          <w:ilvl w:val="0"/>
          <w:numId w:val="16"/>
        </w:numPr>
        <w:rPr>
          <w:lang w:val="en-GB"/>
        </w:rPr>
      </w:pPr>
      <w:r>
        <w:rPr>
          <w:lang w:val="en-GB"/>
        </w:rPr>
        <w:t>Sweden:</w:t>
      </w:r>
    </w:p>
    <w:tbl>
      <w:tblPr>
        <w:tblStyle w:val="TableGrid"/>
        <w:tblW w:w="0" w:type="auto"/>
        <w:tblLook w:val="04A0" w:firstRow="1" w:lastRow="0" w:firstColumn="1" w:lastColumn="0" w:noHBand="0" w:noVBand="1"/>
      </w:tblPr>
      <w:tblGrid>
        <w:gridCol w:w="4957"/>
      </w:tblGrid>
      <w:tr w:rsidR="00E53FCD" w:rsidRPr="00C31782" w14:paraId="3B9F0B49" w14:textId="77777777" w:rsidTr="003F2E94">
        <w:tc>
          <w:tcPr>
            <w:tcW w:w="4957" w:type="dxa"/>
          </w:tcPr>
          <w:p w14:paraId="3F3A536B" w14:textId="48EF5A84" w:rsidR="00E53FCD" w:rsidRDefault="00E53FCD" w:rsidP="00E53FCD">
            <w:pPr>
              <w:rPr>
                <w:lang w:val="en-GB"/>
              </w:rPr>
            </w:pPr>
            <w:r>
              <w:rPr>
                <w:lang w:val="en-GB"/>
              </w:rPr>
              <w:t>Public sector (mixed cover pool</w:t>
            </w:r>
            <w:r w:rsidR="005A46F5">
              <w:rPr>
                <w:lang w:val="en-GB"/>
              </w:rPr>
              <w:t>s</w:t>
            </w:r>
            <w:r w:rsidR="00F22A2C">
              <w:rPr>
                <w:lang w:val="en-GB"/>
              </w:rPr>
              <w:t xml:space="preserve"> </w:t>
            </w:r>
            <w:r w:rsidR="005A46F5">
              <w:rPr>
                <w:lang w:val="en-GB"/>
              </w:rPr>
              <w:t>–</w:t>
            </w:r>
            <w:r w:rsidR="00F22A2C">
              <w:rPr>
                <w:lang w:val="en-GB"/>
              </w:rPr>
              <w:t xml:space="preserve"> SCBC</w:t>
            </w:r>
            <w:r w:rsidR="005A46F5">
              <w:rPr>
                <w:lang w:val="en-GB"/>
              </w:rPr>
              <w:t>, Nordea</w:t>
            </w:r>
            <w:r>
              <w:rPr>
                <w:lang w:val="en-GB"/>
              </w:rPr>
              <w:t>)</w:t>
            </w:r>
          </w:p>
        </w:tc>
      </w:tr>
      <w:tr w:rsidR="00E53FCD" w14:paraId="686F3A79" w14:textId="77777777" w:rsidTr="003F2E94">
        <w:tc>
          <w:tcPr>
            <w:tcW w:w="4957" w:type="dxa"/>
          </w:tcPr>
          <w:p w14:paraId="5F80BA12" w14:textId="77777777" w:rsidR="00E53FCD" w:rsidRDefault="00E53FCD" w:rsidP="00E53FCD">
            <w:pPr>
              <w:rPr>
                <w:lang w:val="en-GB"/>
              </w:rPr>
            </w:pPr>
            <w:r w:rsidRPr="00E53FCD">
              <w:rPr>
                <w:lang w:val="en-GB"/>
              </w:rPr>
              <w:t>&gt;0-&lt;=10.0</w:t>
            </w:r>
            <w:r>
              <w:rPr>
                <w:lang w:val="en-GB"/>
              </w:rPr>
              <w:br/>
            </w:r>
            <w:r w:rsidRPr="00E53FCD">
              <w:rPr>
                <w:lang w:val="en-GB"/>
              </w:rPr>
              <w:t>&gt;10.0-&lt;=20.0</w:t>
            </w:r>
            <w:r>
              <w:rPr>
                <w:lang w:val="en-GB"/>
              </w:rPr>
              <w:br/>
            </w:r>
            <w:r w:rsidRPr="00E53FCD">
              <w:rPr>
                <w:lang w:val="en-GB"/>
              </w:rPr>
              <w:t>&gt;20.0-&lt;=50.0</w:t>
            </w:r>
            <w:r>
              <w:rPr>
                <w:lang w:val="en-GB"/>
              </w:rPr>
              <w:br/>
            </w:r>
            <w:r w:rsidRPr="00E53FCD">
              <w:rPr>
                <w:lang w:val="en-GB"/>
              </w:rPr>
              <w:t>&gt;50.0-&lt;=100.0</w:t>
            </w:r>
            <w:r>
              <w:rPr>
                <w:lang w:val="en-GB"/>
              </w:rPr>
              <w:br/>
            </w:r>
            <w:r w:rsidRPr="00E53FCD">
              <w:rPr>
                <w:lang w:val="en-GB"/>
              </w:rPr>
              <w:t>&gt;100.0-&lt;=200.0</w:t>
            </w:r>
            <w:r>
              <w:rPr>
                <w:lang w:val="en-GB"/>
              </w:rPr>
              <w:br/>
            </w:r>
            <w:r w:rsidRPr="00E53FCD">
              <w:rPr>
                <w:lang w:val="en-GB"/>
              </w:rPr>
              <w:t>&gt;200.0</w:t>
            </w:r>
          </w:p>
        </w:tc>
      </w:tr>
    </w:tbl>
    <w:p w14:paraId="77052108" w14:textId="77777777" w:rsidR="00E53FCD" w:rsidRPr="00E53FCD" w:rsidRDefault="00E53FCD" w:rsidP="00E53FCD">
      <w:pPr>
        <w:pStyle w:val="ListParagraph"/>
        <w:numPr>
          <w:ilvl w:val="0"/>
          <w:numId w:val="16"/>
        </w:numPr>
        <w:rPr>
          <w:lang w:val="en-GB"/>
        </w:rPr>
      </w:pPr>
      <w:r w:rsidRPr="00E53FCD">
        <w:rPr>
          <w:lang w:val="en-GB"/>
        </w:rPr>
        <w:t>United Kingdom – not present</w:t>
      </w:r>
    </w:p>
    <w:p w14:paraId="1AD11789" w14:textId="77777777" w:rsidR="00E53FCD" w:rsidRPr="00E53FCD" w:rsidRDefault="00E53FCD" w:rsidP="00E53FCD">
      <w:pPr>
        <w:rPr>
          <w:lang w:val="en-GB"/>
        </w:rPr>
      </w:pPr>
    </w:p>
    <w:p w14:paraId="62809E56" w14:textId="77777777" w:rsidR="00563560" w:rsidRPr="00E53FCD" w:rsidRDefault="00934262" w:rsidP="00934262">
      <w:pPr>
        <w:pStyle w:val="Heading2"/>
        <w:rPr>
          <w:lang w:val="en-GB"/>
        </w:rPr>
      </w:pPr>
      <w:bookmarkStart w:id="25" w:name="_Toc5714064"/>
      <w:r w:rsidRPr="00E53FCD">
        <w:rPr>
          <w:lang w:val="en-GB"/>
        </w:rPr>
        <w:t>E. Optional ECB-ECAIs data</w:t>
      </w:r>
      <w:bookmarkEnd w:id="25"/>
    </w:p>
    <w:p w14:paraId="7B473297" w14:textId="77777777" w:rsidR="00934262" w:rsidRPr="00E53FCD" w:rsidRDefault="00934262" w:rsidP="007C20D2">
      <w:pPr>
        <w:rPr>
          <w:lang w:val="en-GB"/>
        </w:rPr>
      </w:pPr>
    </w:p>
    <w:p w14:paraId="756CB387" w14:textId="77777777" w:rsidR="00934262" w:rsidRDefault="00934262" w:rsidP="004E7163">
      <w:pPr>
        <w:pStyle w:val="Heading3"/>
        <w:rPr>
          <w:lang w:val="en-GB"/>
        </w:rPr>
      </w:pPr>
      <w:bookmarkStart w:id="26" w:name="_Toc5714065"/>
      <w:r>
        <w:rPr>
          <w:lang w:val="en-GB"/>
        </w:rPr>
        <w:t>Section 3.2 Arrears</w:t>
      </w:r>
      <w:bookmarkEnd w:id="26"/>
    </w:p>
    <w:p w14:paraId="3BEBD6CE" w14:textId="77777777" w:rsidR="003F5277" w:rsidRDefault="00FA1469" w:rsidP="007C20D2">
      <w:pPr>
        <w:rPr>
          <w:i/>
          <w:lang w:val="en-GB"/>
        </w:rPr>
      </w:pPr>
      <w:r>
        <w:rPr>
          <w:lang w:val="en-GB"/>
        </w:rPr>
        <w:t xml:space="preserve">Following the </w:t>
      </w:r>
      <w:r w:rsidR="00214DE7">
        <w:rPr>
          <w:lang w:val="en-GB"/>
        </w:rPr>
        <w:t xml:space="preserve">disposition laid out by the ECB in answer 27 on the </w:t>
      </w:r>
      <w:hyperlink r:id="rId12" w:history="1">
        <w:proofErr w:type="spellStart"/>
        <w:r w:rsidR="00214DE7" w:rsidRPr="00214DE7">
          <w:rPr>
            <w:rStyle w:val="Hyperlink"/>
            <w:lang w:val="en-GB"/>
          </w:rPr>
          <w:t>Eurosystem’s</w:t>
        </w:r>
        <w:proofErr w:type="spellEnd"/>
        <w:r w:rsidR="00214DE7" w:rsidRPr="00214DE7">
          <w:rPr>
            <w:rStyle w:val="Hyperlink"/>
            <w:lang w:val="en-GB"/>
          </w:rPr>
          <w:t xml:space="preserve"> disclosure requirement for covered bond ratings</w:t>
        </w:r>
      </w:hyperlink>
      <w:r w:rsidR="00214DE7">
        <w:rPr>
          <w:lang w:val="en-GB"/>
        </w:rPr>
        <w:t xml:space="preserve"> </w:t>
      </w:r>
      <w:r w:rsidR="00214DE7" w:rsidRPr="00214DE7">
        <w:rPr>
          <w:i/>
          <w:lang w:val="en-GB"/>
        </w:rPr>
        <w:t>the distribution in intervals should ideally by finite and should include only assets or liabilities relevant to the information criterion reported (e.g. assets in arrears should be clearly separated from the performing assets)</w:t>
      </w:r>
      <w:r w:rsidR="00214DE7">
        <w:rPr>
          <w:i/>
          <w:lang w:val="en-GB"/>
        </w:rPr>
        <w:t xml:space="preserve">. </w:t>
      </w:r>
    </w:p>
    <w:p w14:paraId="7271683B" w14:textId="7C57F87E" w:rsidR="003F5277" w:rsidRDefault="003F5277" w:rsidP="007C20D2">
      <w:pPr>
        <w:rPr>
          <w:lang w:val="en-GB"/>
        </w:rPr>
      </w:pPr>
      <w:r>
        <w:rPr>
          <w:lang w:val="en-GB"/>
        </w:rPr>
        <w:t>In order to avoid confusion issuers are invited to highlight only those assets which are actually in arrears. To this end the table has been updated as follows:</w:t>
      </w:r>
    </w:p>
    <w:p w14:paraId="5B63F24F" w14:textId="5111C98B" w:rsidR="003F5277" w:rsidRDefault="003F5277" w:rsidP="007C20D2">
      <w:pPr>
        <w:rPr>
          <w:lang w:val="en-GB"/>
        </w:rPr>
      </w:pPr>
      <w:r>
        <w:rPr>
          <w:noProof/>
        </w:rPr>
        <w:drawing>
          <wp:inline distT="0" distB="0" distL="0" distR="0" wp14:anchorId="326DB19D" wp14:editId="35439EE4">
            <wp:extent cx="39814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1450" cy="952500"/>
                    </a:xfrm>
                    <a:prstGeom prst="rect">
                      <a:avLst/>
                    </a:prstGeom>
                  </pic:spPr>
                </pic:pic>
              </a:graphicData>
            </a:graphic>
          </wp:inline>
        </w:drawing>
      </w:r>
    </w:p>
    <w:p w14:paraId="13FCD4FD" w14:textId="77777777" w:rsidR="00934262" w:rsidRPr="00934262" w:rsidRDefault="00934262" w:rsidP="007C20D2">
      <w:pPr>
        <w:rPr>
          <w:lang w:val="en-GB"/>
        </w:rPr>
      </w:pPr>
    </w:p>
    <w:bookmarkEnd w:id="0"/>
    <w:p w14:paraId="6583AF2C" w14:textId="77777777" w:rsidR="00E53FCD" w:rsidRPr="00934262" w:rsidRDefault="00E53FCD">
      <w:pPr>
        <w:rPr>
          <w:lang w:val="en-GB"/>
        </w:rPr>
      </w:pPr>
    </w:p>
    <w:sectPr w:rsidR="00E53FCD" w:rsidRPr="00934262" w:rsidSect="00073A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7D5C2" w14:textId="77777777" w:rsidR="00391B96" w:rsidRDefault="00391B96" w:rsidP="00971867">
      <w:pPr>
        <w:spacing w:after="0" w:line="240" w:lineRule="auto"/>
      </w:pPr>
      <w:r>
        <w:separator/>
      </w:r>
    </w:p>
  </w:endnote>
  <w:endnote w:type="continuationSeparator" w:id="0">
    <w:p w14:paraId="21D7A8DB" w14:textId="77777777" w:rsidR="00391B96" w:rsidRDefault="00391B96" w:rsidP="0097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C4B4" w14:textId="77777777" w:rsidR="00391B96" w:rsidRDefault="00391B96" w:rsidP="00971867">
      <w:pPr>
        <w:spacing w:after="0" w:line="240" w:lineRule="auto"/>
      </w:pPr>
      <w:r>
        <w:separator/>
      </w:r>
    </w:p>
  </w:footnote>
  <w:footnote w:type="continuationSeparator" w:id="0">
    <w:p w14:paraId="6628A0F7" w14:textId="77777777" w:rsidR="00391B96" w:rsidRDefault="00391B96" w:rsidP="0097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5CC1" w14:textId="77777777" w:rsidR="00391B96" w:rsidRDefault="00391B96">
    <w:pPr>
      <w:pStyle w:val="Header"/>
    </w:pPr>
    <w:r w:rsidRPr="00157219">
      <w:rPr>
        <w:rFonts w:ascii="Verdana" w:hAnsi="Verdana"/>
        <w:noProof/>
        <w:sz w:val="18"/>
        <w:szCs w:val="18"/>
      </w:rPr>
      <w:drawing>
        <wp:inline distT="0" distB="0" distL="0" distR="0" wp14:anchorId="28E952FD" wp14:editId="1A218CED">
          <wp:extent cx="24860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14375"/>
                  </a:xfrm>
                  <a:prstGeom prst="rect">
                    <a:avLst/>
                  </a:prstGeom>
                  <a:noFill/>
                  <a:ln>
                    <a:noFill/>
                  </a:ln>
                </pic:spPr>
              </pic:pic>
            </a:graphicData>
          </a:graphic>
        </wp:inline>
      </w:drawing>
    </w:r>
  </w:p>
  <w:p w14:paraId="584E42CF" w14:textId="77777777" w:rsidR="00391B96" w:rsidRDefault="00391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C54"/>
    <w:multiLevelType w:val="hybridMultilevel"/>
    <w:tmpl w:val="B798C95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602"/>
    <w:multiLevelType w:val="hybridMultilevel"/>
    <w:tmpl w:val="36D29492"/>
    <w:lvl w:ilvl="0" w:tplc="1BD8A96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004C0"/>
    <w:multiLevelType w:val="hybridMultilevel"/>
    <w:tmpl w:val="0BF039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D20F9"/>
    <w:multiLevelType w:val="hybridMultilevel"/>
    <w:tmpl w:val="43AEC7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F045F"/>
    <w:multiLevelType w:val="multilevel"/>
    <w:tmpl w:val="9FCCF4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030B17"/>
    <w:multiLevelType w:val="hybridMultilevel"/>
    <w:tmpl w:val="7E60987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8634D"/>
    <w:multiLevelType w:val="hybridMultilevel"/>
    <w:tmpl w:val="D7B4B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4255F"/>
    <w:multiLevelType w:val="hybridMultilevel"/>
    <w:tmpl w:val="CC6A8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3427F"/>
    <w:multiLevelType w:val="hybridMultilevel"/>
    <w:tmpl w:val="BD087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A7F8C"/>
    <w:multiLevelType w:val="hybridMultilevel"/>
    <w:tmpl w:val="0CDA5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B7E60"/>
    <w:multiLevelType w:val="hybridMultilevel"/>
    <w:tmpl w:val="3384D2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AB3260"/>
    <w:multiLevelType w:val="hybridMultilevel"/>
    <w:tmpl w:val="15C4822C"/>
    <w:lvl w:ilvl="0" w:tplc="94445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3727E0"/>
    <w:multiLevelType w:val="hybridMultilevel"/>
    <w:tmpl w:val="6D56D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244370"/>
    <w:multiLevelType w:val="hybridMultilevel"/>
    <w:tmpl w:val="10B44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921597"/>
    <w:multiLevelType w:val="hybridMultilevel"/>
    <w:tmpl w:val="88582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730B35"/>
    <w:multiLevelType w:val="hybridMultilevel"/>
    <w:tmpl w:val="88582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E386F"/>
    <w:multiLevelType w:val="hybridMultilevel"/>
    <w:tmpl w:val="6C3C9A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508A9"/>
    <w:multiLevelType w:val="hybridMultilevel"/>
    <w:tmpl w:val="C48A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
  </w:num>
  <w:num w:numId="4">
    <w:abstractNumId w:val="0"/>
  </w:num>
  <w:num w:numId="5">
    <w:abstractNumId w:val="10"/>
  </w:num>
  <w:num w:numId="6">
    <w:abstractNumId w:val="11"/>
  </w:num>
  <w:num w:numId="7">
    <w:abstractNumId w:val="8"/>
  </w:num>
  <w:num w:numId="8">
    <w:abstractNumId w:val="13"/>
  </w:num>
  <w:num w:numId="9">
    <w:abstractNumId w:val="7"/>
  </w:num>
  <w:num w:numId="10">
    <w:abstractNumId w:val="3"/>
  </w:num>
  <w:num w:numId="11">
    <w:abstractNumId w:val="15"/>
  </w:num>
  <w:num w:numId="12">
    <w:abstractNumId w:val="9"/>
  </w:num>
  <w:num w:numId="13">
    <w:abstractNumId w:val="2"/>
  </w:num>
  <w:num w:numId="14">
    <w:abstractNumId w:val="5"/>
  </w:num>
  <w:num w:numId="15">
    <w:abstractNumId w:val="16"/>
  </w:num>
  <w:num w:numId="16">
    <w:abstractNumId w:val="12"/>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67"/>
    <w:rsid w:val="00027E23"/>
    <w:rsid w:val="00073A8E"/>
    <w:rsid w:val="00076A98"/>
    <w:rsid w:val="000E3F23"/>
    <w:rsid w:val="00126808"/>
    <w:rsid w:val="00141A92"/>
    <w:rsid w:val="0015358E"/>
    <w:rsid w:val="00197906"/>
    <w:rsid w:val="001A1D88"/>
    <w:rsid w:val="00214DE7"/>
    <w:rsid w:val="00255498"/>
    <w:rsid w:val="002C6481"/>
    <w:rsid w:val="002E1296"/>
    <w:rsid w:val="002E2DF4"/>
    <w:rsid w:val="00300A94"/>
    <w:rsid w:val="00300F59"/>
    <w:rsid w:val="00322579"/>
    <w:rsid w:val="00391B96"/>
    <w:rsid w:val="00396902"/>
    <w:rsid w:val="003B07B4"/>
    <w:rsid w:val="003B67D2"/>
    <w:rsid w:val="003C6C72"/>
    <w:rsid w:val="003D7845"/>
    <w:rsid w:val="003F169A"/>
    <w:rsid w:val="003F2E94"/>
    <w:rsid w:val="003F5277"/>
    <w:rsid w:val="0040663F"/>
    <w:rsid w:val="00445BBA"/>
    <w:rsid w:val="00445FFF"/>
    <w:rsid w:val="00451E47"/>
    <w:rsid w:val="00473775"/>
    <w:rsid w:val="00494FDA"/>
    <w:rsid w:val="004E7163"/>
    <w:rsid w:val="004F3019"/>
    <w:rsid w:val="00501F63"/>
    <w:rsid w:val="005042E4"/>
    <w:rsid w:val="0052164D"/>
    <w:rsid w:val="00563560"/>
    <w:rsid w:val="00586974"/>
    <w:rsid w:val="005A46F5"/>
    <w:rsid w:val="005D744A"/>
    <w:rsid w:val="00603034"/>
    <w:rsid w:val="00613FC4"/>
    <w:rsid w:val="006B6690"/>
    <w:rsid w:val="006D5D14"/>
    <w:rsid w:val="006E126A"/>
    <w:rsid w:val="006F08B8"/>
    <w:rsid w:val="00726682"/>
    <w:rsid w:val="00757614"/>
    <w:rsid w:val="007C20D2"/>
    <w:rsid w:val="007C5A2A"/>
    <w:rsid w:val="00856691"/>
    <w:rsid w:val="008C4FB6"/>
    <w:rsid w:val="008F66B2"/>
    <w:rsid w:val="00934262"/>
    <w:rsid w:val="00971867"/>
    <w:rsid w:val="00991159"/>
    <w:rsid w:val="009B04E2"/>
    <w:rsid w:val="009E0CF0"/>
    <w:rsid w:val="00A92558"/>
    <w:rsid w:val="00A97EB7"/>
    <w:rsid w:val="00AA1492"/>
    <w:rsid w:val="00AC1717"/>
    <w:rsid w:val="00AC1F4E"/>
    <w:rsid w:val="00B0275C"/>
    <w:rsid w:val="00B076C8"/>
    <w:rsid w:val="00B22912"/>
    <w:rsid w:val="00B30B9F"/>
    <w:rsid w:val="00B33C9A"/>
    <w:rsid w:val="00B52368"/>
    <w:rsid w:val="00B547E5"/>
    <w:rsid w:val="00B67BE8"/>
    <w:rsid w:val="00BB6E5B"/>
    <w:rsid w:val="00BE3724"/>
    <w:rsid w:val="00BF1D9E"/>
    <w:rsid w:val="00C172EC"/>
    <w:rsid w:val="00C31782"/>
    <w:rsid w:val="00C374B9"/>
    <w:rsid w:val="00CA373B"/>
    <w:rsid w:val="00CA6F97"/>
    <w:rsid w:val="00CD290F"/>
    <w:rsid w:val="00D025A6"/>
    <w:rsid w:val="00D029E9"/>
    <w:rsid w:val="00D3097D"/>
    <w:rsid w:val="00DB5ECB"/>
    <w:rsid w:val="00DF67B3"/>
    <w:rsid w:val="00E33D87"/>
    <w:rsid w:val="00E53FCD"/>
    <w:rsid w:val="00F21A01"/>
    <w:rsid w:val="00F22A2C"/>
    <w:rsid w:val="00F51819"/>
    <w:rsid w:val="00F5347A"/>
    <w:rsid w:val="00F54E9C"/>
    <w:rsid w:val="00F57A39"/>
    <w:rsid w:val="00F71A48"/>
    <w:rsid w:val="00FA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0764"/>
  <w15:chartTrackingRefBased/>
  <w15:docId w15:val="{1A45C4B4-DE51-4A26-A8B9-424F06EB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867"/>
    <w:pPr>
      <w:spacing w:after="200" w:line="276" w:lineRule="auto"/>
    </w:pPr>
    <w:rPr>
      <w:rFonts w:ascii="Calibri" w:eastAsia="Calibri" w:hAnsi="Calibri" w:cs="Times New Roman"/>
      <w:lang w:val="fr-BE"/>
    </w:rPr>
  </w:style>
  <w:style w:type="paragraph" w:styleId="Heading1">
    <w:name w:val="heading 1"/>
    <w:basedOn w:val="Normal"/>
    <w:next w:val="Normal"/>
    <w:link w:val="Heading1Char"/>
    <w:uiPriority w:val="9"/>
    <w:qFormat/>
    <w:rsid w:val="007C2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6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867"/>
  </w:style>
  <w:style w:type="paragraph" w:styleId="Footer">
    <w:name w:val="footer"/>
    <w:basedOn w:val="Normal"/>
    <w:link w:val="FooterChar"/>
    <w:uiPriority w:val="99"/>
    <w:unhideWhenUsed/>
    <w:rsid w:val="00971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867"/>
  </w:style>
  <w:style w:type="paragraph" w:styleId="ListParagraph">
    <w:name w:val="List Paragraph"/>
    <w:basedOn w:val="Normal"/>
    <w:uiPriority w:val="34"/>
    <w:qFormat/>
    <w:rsid w:val="003F169A"/>
    <w:pPr>
      <w:ind w:left="720"/>
      <w:contextualSpacing/>
    </w:pPr>
  </w:style>
  <w:style w:type="table" w:styleId="TableGrid">
    <w:name w:val="Table Grid"/>
    <w:basedOn w:val="TableNormal"/>
    <w:uiPriority w:val="39"/>
    <w:rsid w:val="00BE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20D2"/>
    <w:rPr>
      <w:rFonts w:asciiTheme="majorHAnsi" w:eastAsiaTheme="majorEastAsia" w:hAnsiTheme="majorHAnsi" w:cstheme="majorBidi"/>
      <w:color w:val="2F5496" w:themeColor="accent1" w:themeShade="BF"/>
      <w:sz w:val="32"/>
      <w:szCs w:val="32"/>
      <w:lang w:val="fr-BE"/>
    </w:rPr>
  </w:style>
  <w:style w:type="character" w:customStyle="1" w:styleId="Heading2Char">
    <w:name w:val="Heading 2 Char"/>
    <w:basedOn w:val="DefaultParagraphFont"/>
    <w:link w:val="Heading2"/>
    <w:uiPriority w:val="9"/>
    <w:rsid w:val="007C20D2"/>
    <w:rPr>
      <w:rFonts w:asciiTheme="majorHAnsi" w:eastAsiaTheme="majorEastAsia" w:hAnsiTheme="majorHAnsi" w:cstheme="majorBidi"/>
      <w:color w:val="2F5496" w:themeColor="accent1" w:themeShade="BF"/>
      <w:sz w:val="26"/>
      <w:szCs w:val="26"/>
      <w:lang w:val="fr-BE"/>
    </w:rPr>
  </w:style>
  <w:style w:type="character" w:customStyle="1" w:styleId="Heading3Char">
    <w:name w:val="Heading 3 Char"/>
    <w:basedOn w:val="DefaultParagraphFont"/>
    <w:link w:val="Heading3"/>
    <w:uiPriority w:val="9"/>
    <w:rsid w:val="00126808"/>
    <w:rPr>
      <w:rFonts w:asciiTheme="majorHAnsi" w:eastAsiaTheme="majorEastAsia" w:hAnsiTheme="majorHAnsi" w:cstheme="majorBidi"/>
      <w:color w:val="1F3763" w:themeColor="accent1" w:themeShade="7F"/>
      <w:sz w:val="24"/>
      <w:szCs w:val="24"/>
      <w:lang w:val="fr-BE"/>
    </w:rPr>
  </w:style>
  <w:style w:type="character" w:styleId="CommentReference">
    <w:name w:val="annotation reference"/>
    <w:basedOn w:val="DefaultParagraphFont"/>
    <w:uiPriority w:val="99"/>
    <w:semiHidden/>
    <w:unhideWhenUsed/>
    <w:rsid w:val="00B30B9F"/>
    <w:rPr>
      <w:sz w:val="16"/>
      <w:szCs w:val="16"/>
    </w:rPr>
  </w:style>
  <w:style w:type="paragraph" w:styleId="CommentText">
    <w:name w:val="annotation text"/>
    <w:basedOn w:val="Normal"/>
    <w:link w:val="CommentTextChar"/>
    <w:uiPriority w:val="99"/>
    <w:unhideWhenUsed/>
    <w:rsid w:val="00B30B9F"/>
    <w:pPr>
      <w:spacing w:line="240" w:lineRule="auto"/>
    </w:pPr>
    <w:rPr>
      <w:sz w:val="20"/>
      <w:szCs w:val="20"/>
    </w:rPr>
  </w:style>
  <w:style w:type="character" w:customStyle="1" w:styleId="CommentTextChar">
    <w:name w:val="Comment Text Char"/>
    <w:basedOn w:val="DefaultParagraphFont"/>
    <w:link w:val="CommentText"/>
    <w:uiPriority w:val="99"/>
    <w:rsid w:val="00B30B9F"/>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B30B9F"/>
    <w:rPr>
      <w:b/>
      <w:bCs/>
    </w:rPr>
  </w:style>
  <w:style w:type="character" w:customStyle="1" w:styleId="CommentSubjectChar">
    <w:name w:val="Comment Subject Char"/>
    <w:basedOn w:val="CommentTextChar"/>
    <w:link w:val="CommentSubject"/>
    <w:uiPriority w:val="99"/>
    <w:semiHidden/>
    <w:rsid w:val="00B30B9F"/>
    <w:rPr>
      <w:rFonts w:ascii="Calibri" w:eastAsia="Calibri" w:hAnsi="Calibri" w:cs="Times New Roman"/>
      <w:b/>
      <w:bCs/>
      <w:sz w:val="20"/>
      <w:szCs w:val="20"/>
      <w:lang w:val="fr-BE"/>
    </w:rPr>
  </w:style>
  <w:style w:type="paragraph" w:styleId="BalloonText">
    <w:name w:val="Balloon Text"/>
    <w:basedOn w:val="Normal"/>
    <w:link w:val="BalloonTextChar"/>
    <w:uiPriority w:val="99"/>
    <w:semiHidden/>
    <w:unhideWhenUsed/>
    <w:rsid w:val="00B3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B9F"/>
    <w:rPr>
      <w:rFonts w:ascii="Segoe UI" w:eastAsia="Calibri" w:hAnsi="Segoe UI" w:cs="Segoe UI"/>
      <w:sz w:val="18"/>
      <w:szCs w:val="18"/>
      <w:lang w:val="fr-BE"/>
    </w:rPr>
  </w:style>
  <w:style w:type="paragraph" w:styleId="TOCHeading">
    <w:name w:val="TOC Heading"/>
    <w:basedOn w:val="Heading1"/>
    <w:next w:val="Normal"/>
    <w:uiPriority w:val="39"/>
    <w:unhideWhenUsed/>
    <w:qFormat/>
    <w:rsid w:val="00F5347A"/>
    <w:pPr>
      <w:spacing w:line="259" w:lineRule="auto"/>
      <w:outlineLvl w:val="9"/>
    </w:pPr>
    <w:rPr>
      <w:lang w:val="en-US"/>
    </w:rPr>
  </w:style>
  <w:style w:type="paragraph" w:styleId="TOC1">
    <w:name w:val="toc 1"/>
    <w:basedOn w:val="Normal"/>
    <w:next w:val="Normal"/>
    <w:autoRedefine/>
    <w:uiPriority w:val="39"/>
    <w:unhideWhenUsed/>
    <w:rsid w:val="00F5347A"/>
    <w:pPr>
      <w:spacing w:after="100"/>
    </w:pPr>
  </w:style>
  <w:style w:type="paragraph" w:styleId="TOC2">
    <w:name w:val="toc 2"/>
    <w:basedOn w:val="Normal"/>
    <w:next w:val="Normal"/>
    <w:autoRedefine/>
    <w:uiPriority w:val="39"/>
    <w:unhideWhenUsed/>
    <w:rsid w:val="00F5347A"/>
    <w:pPr>
      <w:spacing w:after="100"/>
      <w:ind w:left="220"/>
    </w:pPr>
  </w:style>
  <w:style w:type="paragraph" w:styleId="TOC3">
    <w:name w:val="toc 3"/>
    <w:basedOn w:val="Normal"/>
    <w:next w:val="Normal"/>
    <w:autoRedefine/>
    <w:uiPriority w:val="39"/>
    <w:unhideWhenUsed/>
    <w:rsid w:val="00F5347A"/>
    <w:pPr>
      <w:spacing w:after="100"/>
      <w:ind w:left="440"/>
    </w:pPr>
  </w:style>
  <w:style w:type="character" w:styleId="Hyperlink">
    <w:name w:val="Hyperlink"/>
    <w:basedOn w:val="DefaultParagraphFont"/>
    <w:uiPriority w:val="99"/>
    <w:unhideWhenUsed/>
    <w:rsid w:val="00F5347A"/>
    <w:rPr>
      <w:color w:val="0563C1" w:themeColor="hyperlink"/>
      <w:u w:val="single"/>
    </w:rPr>
  </w:style>
  <w:style w:type="character" w:styleId="UnresolvedMention">
    <w:name w:val="Unresolved Mention"/>
    <w:basedOn w:val="DefaultParagraphFont"/>
    <w:uiPriority w:val="99"/>
    <w:semiHidden/>
    <w:unhideWhenUsed/>
    <w:rsid w:val="0021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209">
      <w:bodyDiv w:val="1"/>
      <w:marLeft w:val="0"/>
      <w:marRight w:val="0"/>
      <w:marTop w:val="0"/>
      <w:marBottom w:val="0"/>
      <w:divBdr>
        <w:top w:val="none" w:sz="0" w:space="0" w:color="auto"/>
        <w:left w:val="none" w:sz="0" w:space="0" w:color="auto"/>
        <w:bottom w:val="none" w:sz="0" w:space="0" w:color="auto"/>
        <w:right w:val="none" w:sz="0" w:space="0" w:color="auto"/>
      </w:divBdr>
    </w:div>
    <w:div w:id="142895741">
      <w:bodyDiv w:val="1"/>
      <w:marLeft w:val="0"/>
      <w:marRight w:val="0"/>
      <w:marTop w:val="0"/>
      <w:marBottom w:val="0"/>
      <w:divBdr>
        <w:top w:val="none" w:sz="0" w:space="0" w:color="auto"/>
        <w:left w:val="none" w:sz="0" w:space="0" w:color="auto"/>
        <w:bottom w:val="none" w:sz="0" w:space="0" w:color="auto"/>
        <w:right w:val="none" w:sz="0" w:space="0" w:color="auto"/>
      </w:divBdr>
    </w:div>
    <w:div w:id="166872127">
      <w:bodyDiv w:val="1"/>
      <w:marLeft w:val="0"/>
      <w:marRight w:val="0"/>
      <w:marTop w:val="0"/>
      <w:marBottom w:val="0"/>
      <w:divBdr>
        <w:top w:val="none" w:sz="0" w:space="0" w:color="auto"/>
        <w:left w:val="none" w:sz="0" w:space="0" w:color="auto"/>
        <w:bottom w:val="none" w:sz="0" w:space="0" w:color="auto"/>
        <w:right w:val="none" w:sz="0" w:space="0" w:color="auto"/>
      </w:divBdr>
    </w:div>
    <w:div w:id="167059399">
      <w:bodyDiv w:val="1"/>
      <w:marLeft w:val="0"/>
      <w:marRight w:val="0"/>
      <w:marTop w:val="0"/>
      <w:marBottom w:val="0"/>
      <w:divBdr>
        <w:top w:val="none" w:sz="0" w:space="0" w:color="auto"/>
        <w:left w:val="none" w:sz="0" w:space="0" w:color="auto"/>
        <w:bottom w:val="none" w:sz="0" w:space="0" w:color="auto"/>
        <w:right w:val="none" w:sz="0" w:space="0" w:color="auto"/>
      </w:divBdr>
    </w:div>
    <w:div w:id="181629645">
      <w:bodyDiv w:val="1"/>
      <w:marLeft w:val="0"/>
      <w:marRight w:val="0"/>
      <w:marTop w:val="0"/>
      <w:marBottom w:val="0"/>
      <w:divBdr>
        <w:top w:val="none" w:sz="0" w:space="0" w:color="auto"/>
        <w:left w:val="none" w:sz="0" w:space="0" w:color="auto"/>
        <w:bottom w:val="none" w:sz="0" w:space="0" w:color="auto"/>
        <w:right w:val="none" w:sz="0" w:space="0" w:color="auto"/>
      </w:divBdr>
    </w:div>
    <w:div w:id="195044006">
      <w:bodyDiv w:val="1"/>
      <w:marLeft w:val="0"/>
      <w:marRight w:val="0"/>
      <w:marTop w:val="0"/>
      <w:marBottom w:val="0"/>
      <w:divBdr>
        <w:top w:val="none" w:sz="0" w:space="0" w:color="auto"/>
        <w:left w:val="none" w:sz="0" w:space="0" w:color="auto"/>
        <w:bottom w:val="none" w:sz="0" w:space="0" w:color="auto"/>
        <w:right w:val="none" w:sz="0" w:space="0" w:color="auto"/>
      </w:divBdr>
    </w:div>
    <w:div w:id="218712194">
      <w:bodyDiv w:val="1"/>
      <w:marLeft w:val="0"/>
      <w:marRight w:val="0"/>
      <w:marTop w:val="0"/>
      <w:marBottom w:val="0"/>
      <w:divBdr>
        <w:top w:val="none" w:sz="0" w:space="0" w:color="auto"/>
        <w:left w:val="none" w:sz="0" w:space="0" w:color="auto"/>
        <w:bottom w:val="none" w:sz="0" w:space="0" w:color="auto"/>
        <w:right w:val="none" w:sz="0" w:space="0" w:color="auto"/>
      </w:divBdr>
    </w:div>
    <w:div w:id="230703947">
      <w:bodyDiv w:val="1"/>
      <w:marLeft w:val="0"/>
      <w:marRight w:val="0"/>
      <w:marTop w:val="0"/>
      <w:marBottom w:val="0"/>
      <w:divBdr>
        <w:top w:val="none" w:sz="0" w:space="0" w:color="auto"/>
        <w:left w:val="none" w:sz="0" w:space="0" w:color="auto"/>
        <w:bottom w:val="none" w:sz="0" w:space="0" w:color="auto"/>
        <w:right w:val="none" w:sz="0" w:space="0" w:color="auto"/>
      </w:divBdr>
    </w:div>
    <w:div w:id="267658696">
      <w:bodyDiv w:val="1"/>
      <w:marLeft w:val="0"/>
      <w:marRight w:val="0"/>
      <w:marTop w:val="0"/>
      <w:marBottom w:val="0"/>
      <w:divBdr>
        <w:top w:val="none" w:sz="0" w:space="0" w:color="auto"/>
        <w:left w:val="none" w:sz="0" w:space="0" w:color="auto"/>
        <w:bottom w:val="none" w:sz="0" w:space="0" w:color="auto"/>
        <w:right w:val="none" w:sz="0" w:space="0" w:color="auto"/>
      </w:divBdr>
    </w:div>
    <w:div w:id="269434395">
      <w:bodyDiv w:val="1"/>
      <w:marLeft w:val="0"/>
      <w:marRight w:val="0"/>
      <w:marTop w:val="0"/>
      <w:marBottom w:val="0"/>
      <w:divBdr>
        <w:top w:val="none" w:sz="0" w:space="0" w:color="auto"/>
        <w:left w:val="none" w:sz="0" w:space="0" w:color="auto"/>
        <w:bottom w:val="none" w:sz="0" w:space="0" w:color="auto"/>
        <w:right w:val="none" w:sz="0" w:space="0" w:color="auto"/>
      </w:divBdr>
    </w:div>
    <w:div w:id="291131160">
      <w:bodyDiv w:val="1"/>
      <w:marLeft w:val="0"/>
      <w:marRight w:val="0"/>
      <w:marTop w:val="0"/>
      <w:marBottom w:val="0"/>
      <w:divBdr>
        <w:top w:val="none" w:sz="0" w:space="0" w:color="auto"/>
        <w:left w:val="none" w:sz="0" w:space="0" w:color="auto"/>
        <w:bottom w:val="none" w:sz="0" w:space="0" w:color="auto"/>
        <w:right w:val="none" w:sz="0" w:space="0" w:color="auto"/>
      </w:divBdr>
    </w:div>
    <w:div w:id="292567402">
      <w:bodyDiv w:val="1"/>
      <w:marLeft w:val="0"/>
      <w:marRight w:val="0"/>
      <w:marTop w:val="0"/>
      <w:marBottom w:val="0"/>
      <w:divBdr>
        <w:top w:val="none" w:sz="0" w:space="0" w:color="auto"/>
        <w:left w:val="none" w:sz="0" w:space="0" w:color="auto"/>
        <w:bottom w:val="none" w:sz="0" w:space="0" w:color="auto"/>
        <w:right w:val="none" w:sz="0" w:space="0" w:color="auto"/>
      </w:divBdr>
    </w:div>
    <w:div w:id="380444388">
      <w:bodyDiv w:val="1"/>
      <w:marLeft w:val="0"/>
      <w:marRight w:val="0"/>
      <w:marTop w:val="0"/>
      <w:marBottom w:val="0"/>
      <w:divBdr>
        <w:top w:val="none" w:sz="0" w:space="0" w:color="auto"/>
        <w:left w:val="none" w:sz="0" w:space="0" w:color="auto"/>
        <w:bottom w:val="none" w:sz="0" w:space="0" w:color="auto"/>
        <w:right w:val="none" w:sz="0" w:space="0" w:color="auto"/>
      </w:divBdr>
    </w:div>
    <w:div w:id="385614374">
      <w:bodyDiv w:val="1"/>
      <w:marLeft w:val="0"/>
      <w:marRight w:val="0"/>
      <w:marTop w:val="0"/>
      <w:marBottom w:val="0"/>
      <w:divBdr>
        <w:top w:val="none" w:sz="0" w:space="0" w:color="auto"/>
        <w:left w:val="none" w:sz="0" w:space="0" w:color="auto"/>
        <w:bottom w:val="none" w:sz="0" w:space="0" w:color="auto"/>
        <w:right w:val="none" w:sz="0" w:space="0" w:color="auto"/>
      </w:divBdr>
    </w:div>
    <w:div w:id="386801578">
      <w:bodyDiv w:val="1"/>
      <w:marLeft w:val="0"/>
      <w:marRight w:val="0"/>
      <w:marTop w:val="0"/>
      <w:marBottom w:val="0"/>
      <w:divBdr>
        <w:top w:val="none" w:sz="0" w:space="0" w:color="auto"/>
        <w:left w:val="none" w:sz="0" w:space="0" w:color="auto"/>
        <w:bottom w:val="none" w:sz="0" w:space="0" w:color="auto"/>
        <w:right w:val="none" w:sz="0" w:space="0" w:color="auto"/>
      </w:divBdr>
    </w:div>
    <w:div w:id="441534750">
      <w:bodyDiv w:val="1"/>
      <w:marLeft w:val="0"/>
      <w:marRight w:val="0"/>
      <w:marTop w:val="0"/>
      <w:marBottom w:val="0"/>
      <w:divBdr>
        <w:top w:val="none" w:sz="0" w:space="0" w:color="auto"/>
        <w:left w:val="none" w:sz="0" w:space="0" w:color="auto"/>
        <w:bottom w:val="none" w:sz="0" w:space="0" w:color="auto"/>
        <w:right w:val="none" w:sz="0" w:space="0" w:color="auto"/>
      </w:divBdr>
    </w:div>
    <w:div w:id="467668195">
      <w:bodyDiv w:val="1"/>
      <w:marLeft w:val="0"/>
      <w:marRight w:val="0"/>
      <w:marTop w:val="0"/>
      <w:marBottom w:val="0"/>
      <w:divBdr>
        <w:top w:val="none" w:sz="0" w:space="0" w:color="auto"/>
        <w:left w:val="none" w:sz="0" w:space="0" w:color="auto"/>
        <w:bottom w:val="none" w:sz="0" w:space="0" w:color="auto"/>
        <w:right w:val="none" w:sz="0" w:space="0" w:color="auto"/>
      </w:divBdr>
    </w:div>
    <w:div w:id="515770292">
      <w:bodyDiv w:val="1"/>
      <w:marLeft w:val="0"/>
      <w:marRight w:val="0"/>
      <w:marTop w:val="0"/>
      <w:marBottom w:val="0"/>
      <w:divBdr>
        <w:top w:val="none" w:sz="0" w:space="0" w:color="auto"/>
        <w:left w:val="none" w:sz="0" w:space="0" w:color="auto"/>
        <w:bottom w:val="none" w:sz="0" w:space="0" w:color="auto"/>
        <w:right w:val="none" w:sz="0" w:space="0" w:color="auto"/>
      </w:divBdr>
    </w:div>
    <w:div w:id="516504184">
      <w:bodyDiv w:val="1"/>
      <w:marLeft w:val="0"/>
      <w:marRight w:val="0"/>
      <w:marTop w:val="0"/>
      <w:marBottom w:val="0"/>
      <w:divBdr>
        <w:top w:val="none" w:sz="0" w:space="0" w:color="auto"/>
        <w:left w:val="none" w:sz="0" w:space="0" w:color="auto"/>
        <w:bottom w:val="none" w:sz="0" w:space="0" w:color="auto"/>
        <w:right w:val="none" w:sz="0" w:space="0" w:color="auto"/>
      </w:divBdr>
    </w:div>
    <w:div w:id="535388135">
      <w:bodyDiv w:val="1"/>
      <w:marLeft w:val="0"/>
      <w:marRight w:val="0"/>
      <w:marTop w:val="0"/>
      <w:marBottom w:val="0"/>
      <w:divBdr>
        <w:top w:val="none" w:sz="0" w:space="0" w:color="auto"/>
        <w:left w:val="none" w:sz="0" w:space="0" w:color="auto"/>
        <w:bottom w:val="none" w:sz="0" w:space="0" w:color="auto"/>
        <w:right w:val="none" w:sz="0" w:space="0" w:color="auto"/>
      </w:divBdr>
    </w:div>
    <w:div w:id="538931979">
      <w:bodyDiv w:val="1"/>
      <w:marLeft w:val="0"/>
      <w:marRight w:val="0"/>
      <w:marTop w:val="0"/>
      <w:marBottom w:val="0"/>
      <w:divBdr>
        <w:top w:val="none" w:sz="0" w:space="0" w:color="auto"/>
        <w:left w:val="none" w:sz="0" w:space="0" w:color="auto"/>
        <w:bottom w:val="none" w:sz="0" w:space="0" w:color="auto"/>
        <w:right w:val="none" w:sz="0" w:space="0" w:color="auto"/>
      </w:divBdr>
    </w:div>
    <w:div w:id="548496406">
      <w:bodyDiv w:val="1"/>
      <w:marLeft w:val="0"/>
      <w:marRight w:val="0"/>
      <w:marTop w:val="0"/>
      <w:marBottom w:val="0"/>
      <w:divBdr>
        <w:top w:val="none" w:sz="0" w:space="0" w:color="auto"/>
        <w:left w:val="none" w:sz="0" w:space="0" w:color="auto"/>
        <w:bottom w:val="none" w:sz="0" w:space="0" w:color="auto"/>
        <w:right w:val="none" w:sz="0" w:space="0" w:color="auto"/>
      </w:divBdr>
    </w:div>
    <w:div w:id="571619788">
      <w:bodyDiv w:val="1"/>
      <w:marLeft w:val="0"/>
      <w:marRight w:val="0"/>
      <w:marTop w:val="0"/>
      <w:marBottom w:val="0"/>
      <w:divBdr>
        <w:top w:val="none" w:sz="0" w:space="0" w:color="auto"/>
        <w:left w:val="none" w:sz="0" w:space="0" w:color="auto"/>
        <w:bottom w:val="none" w:sz="0" w:space="0" w:color="auto"/>
        <w:right w:val="none" w:sz="0" w:space="0" w:color="auto"/>
      </w:divBdr>
    </w:div>
    <w:div w:id="626082346">
      <w:bodyDiv w:val="1"/>
      <w:marLeft w:val="0"/>
      <w:marRight w:val="0"/>
      <w:marTop w:val="0"/>
      <w:marBottom w:val="0"/>
      <w:divBdr>
        <w:top w:val="none" w:sz="0" w:space="0" w:color="auto"/>
        <w:left w:val="none" w:sz="0" w:space="0" w:color="auto"/>
        <w:bottom w:val="none" w:sz="0" w:space="0" w:color="auto"/>
        <w:right w:val="none" w:sz="0" w:space="0" w:color="auto"/>
      </w:divBdr>
    </w:div>
    <w:div w:id="645278066">
      <w:bodyDiv w:val="1"/>
      <w:marLeft w:val="0"/>
      <w:marRight w:val="0"/>
      <w:marTop w:val="0"/>
      <w:marBottom w:val="0"/>
      <w:divBdr>
        <w:top w:val="none" w:sz="0" w:space="0" w:color="auto"/>
        <w:left w:val="none" w:sz="0" w:space="0" w:color="auto"/>
        <w:bottom w:val="none" w:sz="0" w:space="0" w:color="auto"/>
        <w:right w:val="none" w:sz="0" w:space="0" w:color="auto"/>
      </w:divBdr>
    </w:div>
    <w:div w:id="664405760">
      <w:bodyDiv w:val="1"/>
      <w:marLeft w:val="0"/>
      <w:marRight w:val="0"/>
      <w:marTop w:val="0"/>
      <w:marBottom w:val="0"/>
      <w:divBdr>
        <w:top w:val="none" w:sz="0" w:space="0" w:color="auto"/>
        <w:left w:val="none" w:sz="0" w:space="0" w:color="auto"/>
        <w:bottom w:val="none" w:sz="0" w:space="0" w:color="auto"/>
        <w:right w:val="none" w:sz="0" w:space="0" w:color="auto"/>
      </w:divBdr>
    </w:div>
    <w:div w:id="666787935">
      <w:bodyDiv w:val="1"/>
      <w:marLeft w:val="0"/>
      <w:marRight w:val="0"/>
      <w:marTop w:val="0"/>
      <w:marBottom w:val="0"/>
      <w:divBdr>
        <w:top w:val="none" w:sz="0" w:space="0" w:color="auto"/>
        <w:left w:val="none" w:sz="0" w:space="0" w:color="auto"/>
        <w:bottom w:val="none" w:sz="0" w:space="0" w:color="auto"/>
        <w:right w:val="none" w:sz="0" w:space="0" w:color="auto"/>
      </w:divBdr>
    </w:div>
    <w:div w:id="750274520">
      <w:bodyDiv w:val="1"/>
      <w:marLeft w:val="0"/>
      <w:marRight w:val="0"/>
      <w:marTop w:val="0"/>
      <w:marBottom w:val="0"/>
      <w:divBdr>
        <w:top w:val="none" w:sz="0" w:space="0" w:color="auto"/>
        <w:left w:val="none" w:sz="0" w:space="0" w:color="auto"/>
        <w:bottom w:val="none" w:sz="0" w:space="0" w:color="auto"/>
        <w:right w:val="none" w:sz="0" w:space="0" w:color="auto"/>
      </w:divBdr>
    </w:div>
    <w:div w:id="832333242">
      <w:bodyDiv w:val="1"/>
      <w:marLeft w:val="0"/>
      <w:marRight w:val="0"/>
      <w:marTop w:val="0"/>
      <w:marBottom w:val="0"/>
      <w:divBdr>
        <w:top w:val="none" w:sz="0" w:space="0" w:color="auto"/>
        <w:left w:val="none" w:sz="0" w:space="0" w:color="auto"/>
        <w:bottom w:val="none" w:sz="0" w:space="0" w:color="auto"/>
        <w:right w:val="none" w:sz="0" w:space="0" w:color="auto"/>
      </w:divBdr>
    </w:div>
    <w:div w:id="892346767">
      <w:bodyDiv w:val="1"/>
      <w:marLeft w:val="0"/>
      <w:marRight w:val="0"/>
      <w:marTop w:val="0"/>
      <w:marBottom w:val="0"/>
      <w:divBdr>
        <w:top w:val="none" w:sz="0" w:space="0" w:color="auto"/>
        <w:left w:val="none" w:sz="0" w:space="0" w:color="auto"/>
        <w:bottom w:val="none" w:sz="0" w:space="0" w:color="auto"/>
        <w:right w:val="none" w:sz="0" w:space="0" w:color="auto"/>
      </w:divBdr>
    </w:div>
    <w:div w:id="894317469">
      <w:bodyDiv w:val="1"/>
      <w:marLeft w:val="0"/>
      <w:marRight w:val="0"/>
      <w:marTop w:val="0"/>
      <w:marBottom w:val="0"/>
      <w:divBdr>
        <w:top w:val="none" w:sz="0" w:space="0" w:color="auto"/>
        <w:left w:val="none" w:sz="0" w:space="0" w:color="auto"/>
        <w:bottom w:val="none" w:sz="0" w:space="0" w:color="auto"/>
        <w:right w:val="none" w:sz="0" w:space="0" w:color="auto"/>
      </w:divBdr>
    </w:div>
    <w:div w:id="896356856">
      <w:bodyDiv w:val="1"/>
      <w:marLeft w:val="0"/>
      <w:marRight w:val="0"/>
      <w:marTop w:val="0"/>
      <w:marBottom w:val="0"/>
      <w:divBdr>
        <w:top w:val="none" w:sz="0" w:space="0" w:color="auto"/>
        <w:left w:val="none" w:sz="0" w:space="0" w:color="auto"/>
        <w:bottom w:val="none" w:sz="0" w:space="0" w:color="auto"/>
        <w:right w:val="none" w:sz="0" w:space="0" w:color="auto"/>
      </w:divBdr>
    </w:div>
    <w:div w:id="962232239">
      <w:bodyDiv w:val="1"/>
      <w:marLeft w:val="0"/>
      <w:marRight w:val="0"/>
      <w:marTop w:val="0"/>
      <w:marBottom w:val="0"/>
      <w:divBdr>
        <w:top w:val="none" w:sz="0" w:space="0" w:color="auto"/>
        <w:left w:val="none" w:sz="0" w:space="0" w:color="auto"/>
        <w:bottom w:val="none" w:sz="0" w:space="0" w:color="auto"/>
        <w:right w:val="none" w:sz="0" w:space="0" w:color="auto"/>
      </w:divBdr>
    </w:div>
    <w:div w:id="969938310">
      <w:bodyDiv w:val="1"/>
      <w:marLeft w:val="0"/>
      <w:marRight w:val="0"/>
      <w:marTop w:val="0"/>
      <w:marBottom w:val="0"/>
      <w:divBdr>
        <w:top w:val="none" w:sz="0" w:space="0" w:color="auto"/>
        <w:left w:val="none" w:sz="0" w:space="0" w:color="auto"/>
        <w:bottom w:val="none" w:sz="0" w:space="0" w:color="auto"/>
        <w:right w:val="none" w:sz="0" w:space="0" w:color="auto"/>
      </w:divBdr>
    </w:div>
    <w:div w:id="992374334">
      <w:bodyDiv w:val="1"/>
      <w:marLeft w:val="0"/>
      <w:marRight w:val="0"/>
      <w:marTop w:val="0"/>
      <w:marBottom w:val="0"/>
      <w:divBdr>
        <w:top w:val="none" w:sz="0" w:space="0" w:color="auto"/>
        <w:left w:val="none" w:sz="0" w:space="0" w:color="auto"/>
        <w:bottom w:val="none" w:sz="0" w:space="0" w:color="auto"/>
        <w:right w:val="none" w:sz="0" w:space="0" w:color="auto"/>
      </w:divBdr>
    </w:div>
    <w:div w:id="1005984358">
      <w:bodyDiv w:val="1"/>
      <w:marLeft w:val="0"/>
      <w:marRight w:val="0"/>
      <w:marTop w:val="0"/>
      <w:marBottom w:val="0"/>
      <w:divBdr>
        <w:top w:val="none" w:sz="0" w:space="0" w:color="auto"/>
        <w:left w:val="none" w:sz="0" w:space="0" w:color="auto"/>
        <w:bottom w:val="none" w:sz="0" w:space="0" w:color="auto"/>
        <w:right w:val="none" w:sz="0" w:space="0" w:color="auto"/>
      </w:divBdr>
    </w:div>
    <w:div w:id="1014457655">
      <w:bodyDiv w:val="1"/>
      <w:marLeft w:val="0"/>
      <w:marRight w:val="0"/>
      <w:marTop w:val="0"/>
      <w:marBottom w:val="0"/>
      <w:divBdr>
        <w:top w:val="none" w:sz="0" w:space="0" w:color="auto"/>
        <w:left w:val="none" w:sz="0" w:space="0" w:color="auto"/>
        <w:bottom w:val="none" w:sz="0" w:space="0" w:color="auto"/>
        <w:right w:val="none" w:sz="0" w:space="0" w:color="auto"/>
      </w:divBdr>
    </w:div>
    <w:div w:id="1184513117">
      <w:bodyDiv w:val="1"/>
      <w:marLeft w:val="0"/>
      <w:marRight w:val="0"/>
      <w:marTop w:val="0"/>
      <w:marBottom w:val="0"/>
      <w:divBdr>
        <w:top w:val="none" w:sz="0" w:space="0" w:color="auto"/>
        <w:left w:val="none" w:sz="0" w:space="0" w:color="auto"/>
        <w:bottom w:val="none" w:sz="0" w:space="0" w:color="auto"/>
        <w:right w:val="none" w:sz="0" w:space="0" w:color="auto"/>
      </w:divBdr>
    </w:div>
    <w:div w:id="1245803991">
      <w:bodyDiv w:val="1"/>
      <w:marLeft w:val="0"/>
      <w:marRight w:val="0"/>
      <w:marTop w:val="0"/>
      <w:marBottom w:val="0"/>
      <w:divBdr>
        <w:top w:val="none" w:sz="0" w:space="0" w:color="auto"/>
        <w:left w:val="none" w:sz="0" w:space="0" w:color="auto"/>
        <w:bottom w:val="none" w:sz="0" w:space="0" w:color="auto"/>
        <w:right w:val="none" w:sz="0" w:space="0" w:color="auto"/>
      </w:divBdr>
    </w:div>
    <w:div w:id="1294407549">
      <w:bodyDiv w:val="1"/>
      <w:marLeft w:val="0"/>
      <w:marRight w:val="0"/>
      <w:marTop w:val="0"/>
      <w:marBottom w:val="0"/>
      <w:divBdr>
        <w:top w:val="none" w:sz="0" w:space="0" w:color="auto"/>
        <w:left w:val="none" w:sz="0" w:space="0" w:color="auto"/>
        <w:bottom w:val="none" w:sz="0" w:space="0" w:color="auto"/>
        <w:right w:val="none" w:sz="0" w:space="0" w:color="auto"/>
      </w:divBdr>
    </w:div>
    <w:div w:id="1305431599">
      <w:bodyDiv w:val="1"/>
      <w:marLeft w:val="0"/>
      <w:marRight w:val="0"/>
      <w:marTop w:val="0"/>
      <w:marBottom w:val="0"/>
      <w:divBdr>
        <w:top w:val="none" w:sz="0" w:space="0" w:color="auto"/>
        <w:left w:val="none" w:sz="0" w:space="0" w:color="auto"/>
        <w:bottom w:val="none" w:sz="0" w:space="0" w:color="auto"/>
        <w:right w:val="none" w:sz="0" w:space="0" w:color="auto"/>
      </w:divBdr>
    </w:div>
    <w:div w:id="1320035165">
      <w:bodyDiv w:val="1"/>
      <w:marLeft w:val="0"/>
      <w:marRight w:val="0"/>
      <w:marTop w:val="0"/>
      <w:marBottom w:val="0"/>
      <w:divBdr>
        <w:top w:val="none" w:sz="0" w:space="0" w:color="auto"/>
        <w:left w:val="none" w:sz="0" w:space="0" w:color="auto"/>
        <w:bottom w:val="none" w:sz="0" w:space="0" w:color="auto"/>
        <w:right w:val="none" w:sz="0" w:space="0" w:color="auto"/>
      </w:divBdr>
    </w:div>
    <w:div w:id="1424954242">
      <w:bodyDiv w:val="1"/>
      <w:marLeft w:val="0"/>
      <w:marRight w:val="0"/>
      <w:marTop w:val="0"/>
      <w:marBottom w:val="0"/>
      <w:divBdr>
        <w:top w:val="none" w:sz="0" w:space="0" w:color="auto"/>
        <w:left w:val="none" w:sz="0" w:space="0" w:color="auto"/>
        <w:bottom w:val="none" w:sz="0" w:space="0" w:color="auto"/>
        <w:right w:val="none" w:sz="0" w:space="0" w:color="auto"/>
      </w:divBdr>
    </w:div>
    <w:div w:id="1430151490">
      <w:bodyDiv w:val="1"/>
      <w:marLeft w:val="0"/>
      <w:marRight w:val="0"/>
      <w:marTop w:val="0"/>
      <w:marBottom w:val="0"/>
      <w:divBdr>
        <w:top w:val="none" w:sz="0" w:space="0" w:color="auto"/>
        <w:left w:val="none" w:sz="0" w:space="0" w:color="auto"/>
        <w:bottom w:val="none" w:sz="0" w:space="0" w:color="auto"/>
        <w:right w:val="none" w:sz="0" w:space="0" w:color="auto"/>
      </w:divBdr>
    </w:div>
    <w:div w:id="1436051294">
      <w:bodyDiv w:val="1"/>
      <w:marLeft w:val="0"/>
      <w:marRight w:val="0"/>
      <w:marTop w:val="0"/>
      <w:marBottom w:val="0"/>
      <w:divBdr>
        <w:top w:val="none" w:sz="0" w:space="0" w:color="auto"/>
        <w:left w:val="none" w:sz="0" w:space="0" w:color="auto"/>
        <w:bottom w:val="none" w:sz="0" w:space="0" w:color="auto"/>
        <w:right w:val="none" w:sz="0" w:space="0" w:color="auto"/>
      </w:divBdr>
    </w:div>
    <w:div w:id="1460487062">
      <w:bodyDiv w:val="1"/>
      <w:marLeft w:val="0"/>
      <w:marRight w:val="0"/>
      <w:marTop w:val="0"/>
      <w:marBottom w:val="0"/>
      <w:divBdr>
        <w:top w:val="none" w:sz="0" w:space="0" w:color="auto"/>
        <w:left w:val="none" w:sz="0" w:space="0" w:color="auto"/>
        <w:bottom w:val="none" w:sz="0" w:space="0" w:color="auto"/>
        <w:right w:val="none" w:sz="0" w:space="0" w:color="auto"/>
      </w:divBdr>
    </w:div>
    <w:div w:id="1480538253">
      <w:bodyDiv w:val="1"/>
      <w:marLeft w:val="0"/>
      <w:marRight w:val="0"/>
      <w:marTop w:val="0"/>
      <w:marBottom w:val="0"/>
      <w:divBdr>
        <w:top w:val="none" w:sz="0" w:space="0" w:color="auto"/>
        <w:left w:val="none" w:sz="0" w:space="0" w:color="auto"/>
        <w:bottom w:val="none" w:sz="0" w:space="0" w:color="auto"/>
        <w:right w:val="none" w:sz="0" w:space="0" w:color="auto"/>
      </w:divBdr>
    </w:div>
    <w:div w:id="1596091619">
      <w:bodyDiv w:val="1"/>
      <w:marLeft w:val="0"/>
      <w:marRight w:val="0"/>
      <w:marTop w:val="0"/>
      <w:marBottom w:val="0"/>
      <w:divBdr>
        <w:top w:val="none" w:sz="0" w:space="0" w:color="auto"/>
        <w:left w:val="none" w:sz="0" w:space="0" w:color="auto"/>
        <w:bottom w:val="none" w:sz="0" w:space="0" w:color="auto"/>
        <w:right w:val="none" w:sz="0" w:space="0" w:color="auto"/>
      </w:divBdr>
    </w:div>
    <w:div w:id="1682466438">
      <w:bodyDiv w:val="1"/>
      <w:marLeft w:val="0"/>
      <w:marRight w:val="0"/>
      <w:marTop w:val="0"/>
      <w:marBottom w:val="0"/>
      <w:divBdr>
        <w:top w:val="none" w:sz="0" w:space="0" w:color="auto"/>
        <w:left w:val="none" w:sz="0" w:space="0" w:color="auto"/>
        <w:bottom w:val="none" w:sz="0" w:space="0" w:color="auto"/>
        <w:right w:val="none" w:sz="0" w:space="0" w:color="auto"/>
      </w:divBdr>
    </w:div>
    <w:div w:id="1719359100">
      <w:bodyDiv w:val="1"/>
      <w:marLeft w:val="0"/>
      <w:marRight w:val="0"/>
      <w:marTop w:val="0"/>
      <w:marBottom w:val="0"/>
      <w:divBdr>
        <w:top w:val="none" w:sz="0" w:space="0" w:color="auto"/>
        <w:left w:val="none" w:sz="0" w:space="0" w:color="auto"/>
        <w:bottom w:val="none" w:sz="0" w:space="0" w:color="auto"/>
        <w:right w:val="none" w:sz="0" w:space="0" w:color="auto"/>
      </w:divBdr>
    </w:div>
    <w:div w:id="1832016411">
      <w:bodyDiv w:val="1"/>
      <w:marLeft w:val="0"/>
      <w:marRight w:val="0"/>
      <w:marTop w:val="0"/>
      <w:marBottom w:val="0"/>
      <w:divBdr>
        <w:top w:val="none" w:sz="0" w:space="0" w:color="auto"/>
        <w:left w:val="none" w:sz="0" w:space="0" w:color="auto"/>
        <w:bottom w:val="none" w:sz="0" w:space="0" w:color="auto"/>
        <w:right w:val="none" w:sz="0" w:space="0" w:color="auto"/>
      </w:divBdr>
    </w:div>
    <w:div w:id="1855915658">
      <w:bodyDiv w:val="1"/>
      <w:marLeft w:val="0"/>
      <w:marRight w:val="0"/>
      <w:marTop w:val="0"/>
      <w:marBottom w:val="0"/>
      <w:divBdr>
        <w:top w:val="none" w:sz="0" w:space="0" w:color="auto"/>
        <w:left w:val="none" w:sz="0" w:space="0" w:color="auto"/>
        <w:bottom w:val="none" w:sz="0" w:space="0" w:color="auto"/>
        <w:right w:val="none" w:sz="0" w:space="0" w:color="auto"/>
      </w:divBdr>
    </w:div>
    <w:div w:id="1873304356">
      <w:bodyDiv w:val="1"/>
      <w:marLeft w:val="0"/>
      <w:marRight w:val="0"/>
      <w:marTop w:val="0"/>
      <w:marBottom w:val="0"/>
      <w:divBdr>
        <w:top w:val="none" w:sz="0" w:space="0" w:color="auto"/>
        <w:left w:val="none" w:sz="0" w:space="0" w:color="auto"/>
        <w:bottom w:val="none" w:sz="0" w:space="0" w:color="auto"/>
        <w:right w:val="none" w:sz="0" w:space="0" w:color="auto"/>
      </w:divBdr>
    </w:div>
    <w:div w:id="1881283369">
      <w:bodyDiv w:val="1"/>
      <w:marLeft w:val="0"/>
      <w:marRight w:val="0"/>
      <w:marTop w:val="0"/>
      <w:marBottom w:val="0"/>
      <w:divBdr>
        <w:top w:val="none" w:sz="0" w:space="0" w:color="auto"/>
        <w:left w:val="none" w:sz="0" w:space="0" w:color="auto"/>
        <w:bottom w:val="none" w:sz="0" w:space="0" w:color="auto"/>
        <w:right w:val="none" w:sz="0" w:space="0" w:color="auto"/>
      </w:divBdr>
    </w:div>
    <w:div w:id="1882354236">
      <w:bodyDiv w:val="1"/>
      <w:marLeft w:val="0"/>
      <w:marRight w:val="0"/>
      <w:marTop w:val="0"/>
      <w:marBottom w:val="0"/>
      <w:divBdr>
        <w:top w:val="none" w:sz="0" w:space="0" w:color="auto"/>
        <w:left w:val="none" w:sz="0" w:space="0" w:color="auto"/>
        <w:bottom w:val="none" w:sz="0" w:space="0" w:color="auto"/>
        <w:right w:val="none" w:sz="0" w:space="0" w:color="auto"/>
      </w:divBdr>
    </w:div>
    <w:div w:id="1894342888">
      <w:bodyDiv w:val="1"/>
      <w:marLeft w:val="0"/>
      <w:marRight w:val="0"/>
      <w:marTop w:val="0"/>
      <w:marBottom w:val="0"/>
      <w:divBdr>
        <w:top w:val="none" w:sz="0" w:space="0" w:color="auto"/>
        <w:left w:val="none" w:sz="0" w:space="0" w:color="auto"/>
        <w:bottom w:val="none" w:sz="0" w:space="0" w:color="auto"/>
        <w:right w:val="none" w:sz="0" w:space="0" w:color="auto"/>
      </w:divBdr>
    </w:div>
    <w:div w:id="1903832128">
      <w:bodyDiv w:val="1"/>
      <w:marLeft w:val="0"/>
      <w:marRight w:val="0"/>
      <w:marTop w:val="0"/>
      <w:marBottom w:val="0"/>
      <w:divBdr>
        <w:top w:val="none" w:sz="0" w:space="0" w:color="auto"/>
        <w:left w:val="none" w:sz="0" w:space="0" w:color="auto"/>
        <w:bottom w:val="none" w:sz="0" w:space="0" w:color="auto"/>
        <w:right w:val="none" w:sz="0" w:space="0" w:color="auto"/>
      </w:divBdr>
    </w:div>
    <w:div w:id="1986347130">
      <w:bodyDiv w:val="1"/>
      <w:marLeft w:val="0"/>
      <w:marRight w:val="0"/>
      <w:marTop w:val="0"/>
      <w:marBottom w:val="0"/>
      <w:divBdr>
        <w:top w:val="none" w:sz="0" w:space="0" w:color="auto"/>
        <w:left w:val="none" w:sz="0" w:space="0" w:color="auto"/>
        <w:bottom w:val="none" w:sz="0" w:space="0" w:color="auto"/>
        <w:right w:val="none" w:sz="0" w:space="0" w:color="auto"/>
      </w:divBdr>
    </w:div>
    <w:div w:id="1990938394">
      <w:bodyDiv w:val="1"/>
      <w:marLeft w:val="0"/>
      <w:marRight w:val="0"/>
      <w:marTop w:val="0"/>
      <w:marBottom w:val="0"/>
      <w:divBdr>
        <w:top w:val="none" w:sz="0" w:space="0" w:color="auto"/>
        <w:left w:val="none" w:sz="0" w:space="0" w:color="auto"/>
        <w:bottom w:val="none" w:sz="0" w:space="0" w:color="auto"/>
        <w:right w:val="none" w:sz="0" w:space="0" w:color="auto"/>
      </w:divBdr>
    </w:div>
    <w:div w:id="1991059674">
      <w:bodyDiv w:val="1"/>
      <w:marLeft w:val="0"/>
      <w:marRight w:val="0"/>
      <w:marTop w:val="0"/>
      <w:marBottom w:val="0"/>
      <w:divBdr>
        <w:top w:val="none" w:sz="0" w:space="0" w:color="auto"/>
        <w:left w:val="none" w:sz="0" w:space="0" w:color="auto"/>
        <w:bottom w:val="none" w:sz="0" w:space="0" w:color="auto"/>
        <w:right w:val="none" w:sz="0" w:space="0" w:color="auto"/>
      </w:divBdr>
    </w:div>
    <w:div w:id="2035301862">
      <w:bodyDiv w:val="1"/>
      <w:marLeft w:val="0"/>
      <w:marRight w:val="0"/>
      <w:marTop w:val="0"/>
      <w:marBottom w:val="0"/>
      <w:divBdr>
        <w:top w:val="none" w:sz="0" w:space="0" w:color="auto"/>
        <w:left w:val="none" w:sz="0" w:space="0" w:color="auto"/>
        <w:bottom w:val="none" w:sz="0" w:space="0" w:color="auto"/>
        <w:right w:val="none" w:sz="0" w:space="0" w:color="auto"/>
      </w:divBdr>
    </w:div>
    <w:div w:id="2039155258">
      <w:bodyDiv w:val="1"/>
      <w:marLeft w:val="0"/>
      <w:marRight w:val="0"/>
      <w:marTop w:val="0"/>
      <w:marBottom w:val="0"/>
      <w:divBdr>
        <w:top w:val="none" w:sz="0" w:space="0" w:color="auto"/>
        <w:left w:val="none" w:sz="0" w:space="0" w:color="auto"/>
        <w:bottom w:val="none" w:sz="0" w:space="0" w:color="auto"/>
        <w:right w:val="none" w:sz="0" w:space="0" w:color="auto"/>
      </w:divBdr>
    </w:div>
    <w:div w:id="2042392875">
      <w:bodyDiv w:val="1"/>
      <w:marLeft w:val="0"/>
      <w:marRight w:val="0"/>
      <w:marTop w:val="0"/>
      <w:marBottom w:val="0"/>
      <w:divBdr>
        <w:top w:val="none" w:sz="0" w:space="0" w:color="auto"/>
        <w:left w:val="none" w:sz="0" w:space="0" w:color="auto"/>
        <w:bottom w:val="none" w:sz="0" w:space="0" w:color="auto"/>
        <w:right w:val="none" w:sz="0" w:space="0" w:color="auto"/>
      </w:divBdr>
    </w:div>
    <w:div w:id="2054428590">
      <w:bodyDiv w:val="1"/>
      <w:marLeft w:val="0"/>
      <w:marRight w:val="0"/>
      <w:marTop w:val="0"/>
      <w:marBottom w:val="0"/>
      <w:divBdr>
        <w:top w:val="none" w:sz="0" w:space="0" w:color="auto"/>
        <w:left w:val="none" w:sz="0" w:space="0" w:color="auto"/>
        <w:bottom w:val="none" w:sz="0" w:space="0" w:color="auto"/>
        <w:right w:val="none" w:sz="0" w:space="0" w:color="auto"/>
      </w:divBdr>
    </w:div>
    <w:div w:id="2098093648">
      <w:bodyDiv w:val="1"/>
      <w:marLeft w:val="0"/>
      <w:marRight w:val="0"/>
      <w:marTop w:val="0"/>
      <w:marBottom w:val="0"/>
      <w:divBdr>
        <w:top w:val="none" w:sz="0" w:space="0" w:color="auto"/>
        <w:left w:val="none" w:sz="0" w:space="0" w:color="auto"/>
        <w:bottom w:val="none" w:sz="0" w:space="0" w:color="auto"/>
        <w:right w:val="none" w:sz="0" w:space="0" w:color="auto"/>
      </w:divBdr>
    </w:div>
    <w:div w:id="21095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europa.eu/paym/coll/risk/ecaf/html/covered-bonds-faq.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6773-5D3A-421F-8B0E-62BFF9B9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Westig</dc:creator>
  <cp:keywords/>
  <dc:description/>
  <cp:lastModifiedBy>Daniele Westig</cp:lastModifiedBy>
  <cp:revision>2</cp:revision>
  <dcterms:created xsi:type="dcterms:W3CDTF">2020-03-24T10:15:00Z</dcterms:created>
  <dcterms:modified xsi:type="dcterms:W3CDTF">2020-03-24T10:15:00Z</dcterms:modified>
</cp:coreProperties>
</file>